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365" w:type="dxa"/>
        <w:jc w:val="center"/>
        <w:tblLook w:val="04A0" w:firstRow="1" w:lastRow="0" w:firstColumn="1" w:lastColumn="0" w:noHBand="0" w:noVBand="1"/>
      </w:tblPr>
      <w:tblGrid>
        <w:gridCol w:w="9365"/>
      </w:tblGrid>
      <w:tr w:rsidR="00CE58E0" w14:paraId="7EAF2F42" w14:textId="77777777" w:rsidTr="00CE58E0">
        <w:trPr>
          <w:trHeight w:val="360"/>
          <w:jc w:val="center"/>
        </w:trPr>
        <w:tc>
          <w:tcPr>
            <w:tcW w:w="9365" w:type="dxa"/>
            <w:hideMark/>
          </w:tcPr>
          <w:p w14:paraId="5985AD06" w14:textId="77777777" w:rsidR="00504DD1" w:rsidRDefault="00B74989" w:rsidP="00B74989">
            <w:pPr>
              <w:suppressLineNumbers/>
              <w:spacing w:after="120"/>
              <w:ind w:left="319"/>
              <w:rPr>
                <w:b/>
                <w:bCs/>
              </w:rPr>
            </w:pPr>
            <w:r>
              <w:rPr>
                <w:rFonts w:hint="cs"/>
                <w:b/>
                <w:bCs/>
                <w:rtl/>
              </w:rPr>
              <w:t>לפני הרכב כבוד השופטים:</w:t>
            </w:r>
          </w:p>
          <w:p w14:paraId="784B9292" w14:textId="77777777" w:rsidR="00504DD1" w:rsidRDefault="00B74989" w:rsidP="00B74989">
            <w:pPr>
              <w:suppressLineNumbers/>
              <w:spacing w:after="120"/>
              <w:ind w:left="319"/>
              <w:rPr>
                <w:b/>
                <w:bCs/>
                <w:rtl/>
              </w:rPr>
            </w:pPr>
            <w:r>
              <w:rPr>
                <w:rFonts w:hint="cs"/>
                <w:b/>
                <w:bCs/>
                <w:rtl/>
              </w:rPr>
              <w:t>חננאל שרעבי [אב"ד]</w:t>
            </w:r>
          </w:p>
          <w:p w14:paraId="0642F19D" w14:textId="77777777" w:rsidR="00504DD1" w:rsidRDefault="00B74989" w:rsidP="00B74989">
            <w:pPr>
              <w:suppressLineNumbers/>
              <w:spacing w:after="120"/>
              <w:ind w:left="319"/>
              <w:rPr>
                <w:b/>
                <w:bCs/>
                <w:rtl/>
              </w:rPr>
            </w:pPr>
            <w:proofErr w:type="spellStart"/>
            <w:r>
              <w:rPr>
                <w:rFonts w:hint="cs"/>
                <w:b/>
                <w:bCs/>
                <w:rtl/>
              </w:rPr>
              <w:t>אספרנצה</w:t>
            </w:r>
            <w:proofErr w:type="spellEnd"/>
            <w:r>
              <w:rPr>
                <w:rFonts w:hint="cs"/>
                <w:b/>
                <w:bCs/>
                <w:rtl/>
              </w:rPr>
              <w:t xml:space="preserve"> אלון</w:t>
            </w:r>
          </w:p>
          <w:p w14:paraId="513BD034" w14:textId="77777777" w:rsidR="00504DD1" w:rsidRDefault="005E538D" w:rsidP="00B74989">
            <w:pPr>
              <w:suppressLineNumbers/>
              <w:spacing w:after="120"/>
              <w:ind w:left="319"/>
              <w:rPr>
                <w:b/>
                <w:bCs/>
                <w:rtl/>
              </w:rPr>
            </w:pPr>
            <w:sdt>
              <w:sdtPr>
                <w:rPr>
                  <w:rFonts w:hint="cs"/>
                  <w:rtl/>
                </w:rPr>
                <w:alias w:val="165"/>
                <w:tag w:val="165"/>
                <w:id w:val="584732177"/>
                <w:text w:multiLine="1"/>
              </w:sdtPr>
              <w:sdtEndPr/>
              <w:sdtContent>
                <w:r w:rsidR="00B74989">
                  <w:rPr>
                    <w:rFonts w:hint="cs"/>
                    <w:b/>
                    <w:bCs/>
                    <w:rtl/>
                  </w:rPr>
                  <w:t>אריה נאמן</w:t>
                </w:r>
              </w:sdtContent>
            </w:sdt>
          </w:p>
        </w:tc>
      </w:tr>
    </w:tbl>
    <w:tbl>
      <w:tblPr>
        <w:tblStyle w:val="a9"/>
        <w:bidiVisual/>
        <w:tblW w:w="8980"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46"/>
        <w:gridCol w:w="5734"/>
      </w:tblGrid>
      <w:tr w:rsidR="00CE58E0" w14:paraId="6F499328" w14:textId="77777777" w:rsidTr="00B74989">
        <w:tc>
          <w:tcPr>
            <w:tcW w:w="3246" w:type="dxa"/>
          </w:tcPr>
          <w:p w14:paraId="21B4E50C" w14:textId="77777777" w:rsidR="00504DD1" w:rsidRDefault="00504DD1">
            <w:pPr>
              <w:suppressLineNumbers/>
              <w:rPr>
                <w:rFonts w:ascii="David" w:eastAsia="David" w:hAnsi="David"/>
                <w:b/>
                <w:bCs/>
                <w:rtl/>
              </w:rPr>
            </w:pPr>
          </w:p>
          <w:p w14:paraId="33C3D0C1" w14:textId="77777777" w:rsidR="00B74989" w:rsidRDefault="00B74989">
            <w:pPr>
              <w:suppressLineNumbers/>
              <w:rPr>
                <w:rFonts w:ascii="David" w:eastAsia="David" w:hAnsi="David"/>
                <w:b/>
                <w:bCs/>
              </w:rPr>
            </w:pPr>
          </w:p>
          <w:p w14:paraId="7A2C5C51" w14:textId="77777777" w:rsidR="00504DD1" w:rsidRDefault="00B74989">
            <w:pPr>
              <w:suppressLineNumbers/>
              <w:rPr>
                <w:rFonts w:ascii="David" w:eastAsia="David" w:hAnsi="David"/>
                <w:b/>
                <w:bCs/>
                <w:rtl/>
              </w:rPr>
            </w:pPr>
            <w:r>
              <w:rPr>
                <w:rFonts w:ascii="David" w:eastAsia="David" w:hAnsi="David" w:hint="cs"/>
                <w:b/>
                <w:bCs/>
                <w:rtl/>
              </w:rPr>
              <w:t>ה</w:t>
            </w:r>
            <w:sdt>
              <w:sdtPr>
                <w:rPr>
                  <w:b/>
                  <w:bCs/>
                  <w:rtl/>
                </w:rPr>
                <w:alias w:val="1264"/>
                <w:tag w:val="1264"/>
                <w:id w:val="748628538"/>
                <w:placeholder>
                  <w:docPart w:val="B7317E2123CA4B7380FBB46815F4D7D1"/>
                </w:placeholder>
                <w:text w:multiLine="1"/>
              </w:sdtPr>
              <w:sdtEndPr/>
              <w:sdtContent>
                <w:r>
                  <w:rPr>
                    <w:rFonts w:ascii="David" w:eastAsia="David" w:hAnsi="David"/>
                    <w:b/>
                    <w:bCs/>
                    <w:rtl/>
                  </w:rPr>
                  <w:t>מערער</w:t>
                </w:r>
              </w:sdtContent>
            </w:sdt>
          </w:p>
        </w:tc>
        <w:tc>
          <w:tcPr>
            <w:tcW w:w="5734" w:type="dxa"/>
          </w:tcPr>
          <w:p w14:paraId="12DE9853" w14:textId="77777777" w:rsidR="00504DD1" w:rsidRDefault="00504DD1">
            <w:pPr>
              <w:suppressLineNumbers/>
              <w:rPr>
                <w:b/>
                <w:bCs/>
                <w:rtl/>
              </w:rPr>
            </w:pPr>
          </w:p>
          <w:p w14:paraId="0086563D" w14:textId="77777777" w:rsidR="00B74989" w:rsidRDefault="00B74989">
            <w:pPr>
              <w:suppressLineNumbers/>
              <w:rPr>
                <w:rFonts w:ascii="David" w:eastAsia="David" w:hAnsi="David"/>
                <w:b/>
                <w:bCs/>
                <w:rtl/>
              </w:rPr>
            </w:pPr>
          </w:p>
          <w:p w14:paraId="3CA70A79" w14:textId="77777777" w:rsidR="00504DD1" w:rsidRPr="00B74989" w:rsidRDefault="00610F11" w:rsidP="00B74989">
            <w:pPr>
              <w:suppressLineNumbers/>
              <w:spacing w:line="360" w:lineRule="auto"/>
            </w:pPr>
            <w:r>
              <w:rPr>
                <w:rFonts w:ascii="David" w:eastAsia="David" w:hAnsi="David" w:hint="cs"/>
                <w:b/>
                <w:bCs/>
                <w:rtl/>
              </w:rPr>
              <w:t>האיש</w:t>
            </w:r>
            <w:r w:rsidR="00B74989">
              <w:rPr>
                <w:rFonts w:hint="cs"/>
                <w:b/>
                <w:bCs/>
                <w:rtl/>
              </w:rPr>
              <w:t xml:space="preserve"> </w:t>
            </w:r>
            <w:sdt>
              <w:sdtPr>
                <w:rPr>
                  <w:b/>
                  <w:bCs/>
                  <w:rtl/>
                </w:rPr>
                <w:alias w:val="2688"/>
                <w:tag w:val="2688"/>
                <w:id w:val="-1957249425"/>
                <w:placeholder>
                  <w:docPart w:val="45942C22821F46E0B7E7B5B616DB325A"/>
                </w:placeholder>
                <w:text w:multiLine="1"/>
              </w:sdtPr>
              <w:sdtEndPr/>
              <w:sdtContent>
                <w:r w:rsidR="00B74989">
                  <w:rPr>
                    <w:b/>
                    <w:bCs/>
                    <w:rtl/>
                  </w:rPr>
                  <w:br/>
                </w:r>
                <w:r w:rsidR="00B74989">
                  <w:rPr>
                    <w:rFonts w:hint="cs"/>
                    <w:b/>
                    <w:bCs/>
                    <w:rtl/>
                  </w:rPr>
                  <w:t xml:space="preserve">ע"י ב"כ עו"ד אלינור </w:t>
                </w:r>
                <w:proofErr w:type="spellStart"/>
                <w:r w:rsidR="00B74989">
                  <w:rPr>
                    <w:rFonts w:hint="cs"/>
                    <w:b/>
                    <w:bCs/>
                    <w:rtl/>
                  </w:rPr>
                  <w:t>ליבוביץ</w:t>
                </w:r>
                <w:proofErr w:type="spellEnd"/>
              </w:sdtContent>
            </w:sdt>
          </w:p>
        </w:tc>
      </w:tr>
      <w:tr w:rsidR="00CE58E0" w14:paraId="40072FB3" w14:textId="77777777" w:rsidTr="00B74989">
        <w:tc>
          <w:tcPr>
            <w:tcW w:w="8980" w:type="dxa"/>
            <w:gridSpan w:val="2"/>
          </w:tcPr>
          <w:p w14:paraId="749F4A9B" w14:textId="77777777" w:rsidR="00B74989" w:rsidRDefault="00B74989">
            <w:pPr>
              <w:suppressLineNumbers/>
              <w:rPr>
                <w:rFonts w:ascii="David" w:eastAsia="David" w:hAnsi="David"/>
                <w:b/>
                <w:bCs/>
                <w:rtl/>
              </w:rPr>
            </w:pPr>
          </w:p>
          <w:p w14:paraId="1DFE1DDD" w14:textId="77777777" w:rsidR="00504DD1" w:rsidRDefault="00B74989">
            <w:pPr>
              <w:suppressLineNumbers/>
              <w:jc w:val="center"/>
              <w:rPr>
                <w:rFonts w:ascii="David" w:eastAsia="David" w:hAnsi="David"/>
                <w:b/>
                <w:bCs/>
                <w:rtl/>
              </w:rPr>
            </w:pPr>
            <w:r>
              <w:rPr>
                <w:rFonts w:ascii="David" w:eastAsia="David" w:hAnsi="David" w:hint="cs"/>
                <w:b/>
                <w:bCs/>
                <w:rtl/>
              </w:rPr>
              <w:t>נגד</w:t>
            </w:r>
          </w:p>
          <w:p w14:paraId="38CC5D02" w14:textId="77777777" w:rsidR="00B74989" w:rsidRDefault="00B74989">
            <w:pPr>
              <w:suppressLineNumbers/>
              <w:jc w:val="center"/>
              <w:rPr>
                <w:rFonts w:ascii="David" w:eastAsia="David" w:hAnsi="David"/>
                <w:b/>
                <w:bCs/>
                <w:rtl/>
              </w:rPr>
            </w:pPr>
          </w:p>
          <w:p w14:paraId="1318F8A3" w14:textId="77777777" w:rsidR="00504DD1" w:rsidRDefault="00504DD1">
            <w:pPr>
              <w:suppressLineNumbers/>
              <w:rPr>
                <w:rFonts w:ascii="David" w:eastAsia="David" w:hAnsi="David"/>
                <w:b/>
                <w:bCs/>
                <w:rtl/>
              </w:rPr>
            </w:pPr>
          </w:p>
        </w:tc>
      </w:tr>
      <w:tr w:rsidR="00CE58E0" w14:paraId="34B906CD" w14:textId="77777777" w:rsidTr="00B74989">
        <w:trPr>
          <w:trHeight w:val="942"/>
        </w:trPr>
        <w:tc>
          <w:tcPr>
            <w:tcW w:w="3246" w:type="dxa"/>
            <w:hideMark/>
          </w:tcPr>
          <w:p w14:paraId="6EBDBF7D" w14:textId="77777777" w:rsidR="00504DD1" w:rsidRDefault="00B74989">
            <w:pPr>
              <w:suppressLineNumbers/>
              <w:rPr>
                <w:rFonts w:ascii="David" w:eastAsia="David" w:hAnsi="David"/>
                <w:b/>
                <w:bCs/>
                <w:rtl/>
              </w:rPr>
            </w:pPr>
            <w:r>
              <w:rPr>
                <w:rFonts w:ascii="David" w:eastAsia="David" w:hAnsi="David" w:hint="cs"/>
                <w:b/>
                <w:bCs/>
                <w:rtl/>
              </w:rPr>
              <w:t>ה</w:t>
            </w:r>
            <w:sdt>
              <w:sdtPr>
                <w:rPr>
                  <w:b/>
                  <w:bCs/>
                  <w:rtl/>
                </w:rPr>
                <w:alias w:val="1265"/>
                <w:tag w:val="1265"/>
                <w:id w:val="15438151"/>
                <w:text/>
              </w:sdtPr>
              <w:sdtEndPr/>
              <w:sdtContent>
                <w:r>
                  <w:rPr>
                    <w:rFonts w:ascii="David" w:eastAsia="David" w:hAnsi="David"/>
                    <w:b/>
                    <w:bCs/>
                    <w:rtl/>
                  </w:rPr>
                  <w:t>משיבה</w:t>
                </w:r>
              </w:sdtContent>
            </w:sdt>
          </w:p>
        </w:tc>
        <w:tc>
          <w:tcPr>
            <w:tcW w:w="5734" w:type="dxa"/>
            <w:hideMark/>
          </w:tcPr>
          <w:p w14:paraId="006819F9" w14:textId="77777777" w:rsidR="00504DD1" w:rsidRDefault="005E538D" w:rsidP="00B74989">
            <w:pPr>
              <w:suppressLineNumbers/>
              <w:spacing w:line="360" w:lineRule="auto"/>
              <w:rPr>
                <w:rFonts w:ascii="David" w:eastAsia="David" w:hAnsi="David"/>
                <w:b/>
                <w:bCs/>
                <w:rtl/>
              </w:rPr>
            </w:pPr>
            <w:sdt>
              <w:sdtPr>
                <w:rPr>
                  <w:b/>
                  <w:bCs/>
                  <w:rtl/>
                </w:rPr>
                <w:alias w:val="1266"/>
                <w:tag w:val="1266"/>
                <w:id w:val="1865085449"/>
                <w:placeholder>
                  <w:docPart w:val="7F1784EE3B86478B8D4F8AC853A54BBE"/>
                </w:placeholder>
                <w:text w:multiLine="1"/>
              </w:sdtPr>
              <w:sdtEndPr/>
              <w:sdtContent>
                <w:r w:rsidR="00610F11">
                  <w:rPr>
                    <w:rFonts w:ascii="David" w:eastAsia="David" w:hAnsi="David" w:hint="cs"/>
                    <w:b/>
                    <w:bCs/>
                    <w:rtl/>
                  </w:rPr>
                  <w:t>האישה</w:t>
                </w:r>
                <w:r w:rsidR="00B74989">
                  <w:rPr>
                    <w:rFonts w:ascii="David" w:eastAsia="David" w:hAnsi="David"/>
                    <w:b/>
                    <w:bCs/>
                    <w:rtl/>
                  </w:rPr>
                  <w:br/>
                </w:r>
                <w:r w:rsidR="00B74989">
                  <w:rPr>
                    <w:rFonts w:hint="cs"/>
                    <w:b/>
                    <w:bCs/>
                    <w:rtl/>
                  </w:rPr>
                  <w:t>ע"י ב"כ עו"ד עמוס צדיקה</w:t>
                </w:r>
                <w:r w:rsidR="00B74989">
                  <w:rPr>
                    <w:b/>
                    <w:bCs/>
                    <w:rtl/>
                  </w:rPr>
                  <w:br/>
                </w:r>
              </w:sdtContent>
            </w:sdt>
            <w:r w:rsidR="00B74989">
              <w:rPr>
                <w:rFonts w:hint="cs"/>
                <w:b/>
                <w:bCs/>
                <w:rtl/>
              </w:rPr>
              <w:t xml:space="preserve">  </w:t>
            </w:r>
          </w:p>
        </w:tc>
      </w:tr>
    </w:tbl>
    <w:p w14:paraId="3946B9CC" w14:textId="77777777" w:rsidR="00504DD1" w:rsidRPr="00B74989" w:rsidRDefault="00B74989" w:rsidP="00B74989">
      <w:pPr>
        <w:suppressLineNumbers/>
        <w:rPr>
          <w:rFonts w:ascii="David" w:eastAsia="David" w:hAnsi="David"/>
          <w:b/>
          <w:bCs/>
        </w:rPr>
      </w:pPr>
      <w:r>
        <w:rPr>
          <w:rFonts w:hint="cs"/>
          <w:b/>
          <w:bCs/>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14:paraId="129DA688" w14:textId="77777777">
        <w:trPr>
          <w:jc w:val="center"/>
        </w:trPr>
        <w:tc>
          <w:tcPr>
            <w:tcW w:w="8820" w:type="dxa"/>
          </w:tcPr>
          <w:p w14:paraId="6952885F" w14:textId="77777777" w:rsidR="00694556" w:rsidRDefault="003E38C7" w:rsidP="00B74989">
            <w:pPr>
              <w:bidi w:val="0"/>
              <w:spacing w:after="120"/>
              <w:jc w:val="center"/>
              <w:rPr>
                <w:rFonts w:ascii="Arial" w:hAnsi="Arial"/>
                <w:b/>
                <w:bCs/>
                <w:sz w:val="28"/>
                <w:szCs w:val="28"/>
                <w:u w:val="single"/>
                <w:rtl/>
              </w:rPr>
            </w:pPr>
            <w:r>
              <w:rPr>
                <w:rFonts w:ascii="Arial" w:hAnsi="Arial" w:hint="cs"/>
                <w:b/>
                <w:bCs/>
                <w:sz w:val="28"/>
                <w:szCs w:val="28"/>
                <w:u w:val="single"/>
                <w:rtl/>
              </w:rPr>
              <w:t>פסק דין</w:t>
            </w:r>
          </w:p>
          <w:p w14:paraId="1E46865F" w14:textId="77777777" w:rsidR="00D44968" w:rsidRPr="00D44968" w:rsidRDefault="00D44968" w:rsidP="00D44968">
            <w:pPr>
              <w:bidi w:val="0"/>
              <w:jc w:val="center"/>
              <w:rPr>
                <w:rFonts w:ascii="Arial" w:hAnsi="Arial"/>
                <w:b/>
                <w:bCs/>
                <w:sz w:val="28"/>
                <w:szCs w:val="28"/>
                <w:u w:val="single"/>
              </w:rPr>
            </w:pPr>
          </w:p>
        </w:tc>
      </w:tr>
    </w:tbl>
    <w:p w14:paraId="450A75D7" w14:textId="77777777" w:rsidR="00B74989" w:rsidRPr="00B74989" w:rsidRDefault="00B74989" w:rsidP="00B74989">
      <w:pPr>
        <w:numPr>
          <w:ilvl w:val="0"/>
          <w:numId w:val="1"/>
        </w:numPr>
        <w:spacing w:after="120" w:line="360" w:lineRule="auto"/>
        <w:ind w:hanging="720"/>
        <w:jc w:val="both"/>
        <w:rPr>
          <w:rFonts w:ascii="Arial" w:hAnsi="Arial"/>
          <w:rtl/>
        </w:rPr>
      </w:pPr>
      <w:bookmarkStart w:id="0" w:name="NGCSBookmark"/>
      <w:bookmarkEnd w:id="0"/>
      <w:r w:rsidRPr="00B74989">
        <w:rPr>
          <w:rFonts w:ascii="Arial" w:hAnsi="Arial"/>
          <w:rtl/>
        </w:rPr>
        <w:t>לפנינו ערעור על פסק דינו החלקי של בית משפט לענייני משפחה בחיפה (כבוד השופטת ענבל קרן) (להלן: "</w:t>
      </w:r>
      <w:r w:rsidRPr="00B74989">
        <w:rPr>
          <w:rFonts w:ascii="Arial" w:hAnsi="Arial"/>
          <w:b/>
          <w:bCs/>
          <w:rtl/>
        </w:rPr>
        <w:t>בית משפט קמא</w:t>
      </w:r>
      <w:r w:rsidRPr="00B74989">
        <w:rPr>
          <w:rFonts w:ascii="Arial" w:hAnsi="Arial"/>
          <w:rtl/>
        </w:rPr>
        <w:t xml:space="preserve">"), שניתן ביום 04.08.2024 במסגרת </w:t>
      </w:r>
      <w:proofErr w:type="spellStart"/>
      <w:r w:rsidRPr="00B74989">
        <w:rPr>
          <w:rFonts w:ascii="Arial" w:hAnsi="Arial"/>
          <w:rtl/>
        </w:rPr>
        <w:t>תלה"מ</w:t>
      </w:r>
      <w:proofErr w:type="spellEnd"/>
      <w:r w:rsidRPr="00B74989">
        <w:rPr>
          <w:rFonts w:ascii="Arial" w:hAnsi="Arial"/>
          <w:rtl/>
        </w:rPr>
        <w:t xml:space="preserve"> 35316-03-20, במסגרתו נקבע כי הסכם שחתמו הצדדים תקף לתקופה בה היו ידועים בציבור ועד ליום נישואיהם, וכי מיום נישואיהם ואילך יחול על הצדדים חוק יחסי ממון, התשל"ג-1973 (להלן: "</w:t>
      </w:r>
      <w:r w:rsidRPr="00B74989">
        <w:rPr>
          <w:rFonts w:ascii="Arial" w:hAnsi="Arial"/>
          <w:b/>
          <w:bCs/>
          <w:rtl/>
        </w:rPr>
        <w:t>פסק הדין קמא</w:t>
      </w:r>
      <w:r w:rsidRPr="00B74989">
        <w:rPr>
          <w:rFonts w:ascii="Arial" w:hAnsi="Arial"/>
          <w:rtl/>
        </w:rPr>
        <w:t>" ו"</w:t>
      </w:r>
      <w:r w:rsidRPr="00B74989">
        <w:rPr>
          <w:rFonts w:ascii="Arial" w:hAnsi="Arial"/>
          <w:b/>
          <w:bCs/>
          <w:rtl/>
        </w:rPr>
        <w:t>חוק יחסי ממון</w:t>
      </w:r>
      <w:r w:rsidRPr="00B74989">
        <w:rPr>
          <w:rFonts w:ascii="Arial" w:hAnsi="Arial"/>
          <w:rtl/>
        </w:rPr>
        <w:t xml:space="preserve">", בהתאמה). </w:t>
      </w:r>
    </w:p>
    <w:p w14:paraId="3D57890E" w14:textId="77777777" w:rsidR="00B74989" w:rsidRPr="00B74989" w:rsidRDefault="00B74989" w:rsidP="000B76E7">
      <w:pPr>
        <w:spacing w:after="120" w:line="360" w:lineRule="auto"/>
        <w:ind w:left="720" w:hanging="720"/>
        <w:jc w:val="both"/>
        <w:rPr>
          <w:rFonts w:ascii="Arial" w:hAnsi="Arial"/>
        </w:rPr>
      </w:pPr>
      <w:r w:rsidRPr="00B74989">
        <w:rPr>
          <w:rFonts w:ascii="Arial" w:hAnsi="Arial"/>
          <w:rtl/>
        </w:rPr>
        <w:tab/>
      </w:r>
      <w:r w:rsidRPr="00B74989">
        <w:rPr>
          <w:rFonts w:ascii="Arial" w:hAnsi="Arial" w:hint="eastAsia"/>
          <w:u w:val="single"/>
          <w:rtl/>
        </w:rPr>
        <w:t>כך</w:t>
      </w:r>
      <w:r w:rsidRPr="00B74989">
        <w:rPr>
          <w:rFonts w:ascii="Arial" w:hAnsi="Arial"/>
          <w:u w:val="single"/>
          <w:rtl/>
        </w:rPr>
        <w:t xml:space="preserve"> </w:t>
      </w:r>
      <w:r w:rsidRPr="00B74989">
        <w:rPr>
          <w:rFonts w:ascii="Arial" w:hAnsi="Arial" w:hint="eastAsia"/>
          <w:u w:val="single"/>
          <w:rtl/>
        </w:rPr>
        <w:t>נקבע</w:t>
      </w:r>
      <w:r w:rsidRPr="00B74989">
        <w:rPr>
          <w:rFonts w:ascii="Arial" w:hAnsi="Arial"/>
          <w:u w:val="single"/>
          <w:rtl/>
        </w:rPr>
        <w:t xml:space="preserve"> </w:t>
      </w:r>
      <w:r w:rsidRPr="00B74989">
        <w:rPr>
          <w:rFonts w:ascii="Arial" w:hAnsi="Arial" w:hint="eastAsia"/>
          <w:u w:val="single"/>
          <w:rtl/>
        </w:rPr>
        <w:t>בסעיף</w:t>
      </w:r>
      <w:r w:rsidRPr="00B74989">
        <w:rPr>
          <w:rFonts w:ascii="Arial" w:hAnsi="Arial"/>
          <w:u w:val="single"/>
          <w:rtl/>
        </w:rPr>
        <w:t xml:space="preserve"> 43 </w:t>
      </w:r>
      <w:r w:rsidRPr="00B74989">
        <w:rPr>
          <w:rFonts w:ascii="Arial" w:hAnsi="Arial" w:hint="eastAsia"/>
          <w:u w:val="single"/>
          <w:rtl/>
        </w:rPr>
        <w:t>לפסק</w:t>
      </w:r>
      <w:r w:rsidRPr="00B74989">
        <w:rPr>
          <w:rFonts w:ascii="Arial" w:hAnsi="Arial"/>
          <w:u w:val="single"/>
          <w:rtl/>
        </w:rPr>
        <w:t xml:space="preserve"> </w:t>
      </w:r>
      <w:r w:rsidRPr="00B74989">
        <w:rPr>
          <w:rFonts w:ascii="Arial" w:hAnsi="Arial" w:hint="eastAsia"/>
          <w:u w:val="single"/>
          <w:rtl/>
        </w:rPr>
        <w:t>הדין</w:t>
      </w:r>
      <w:r w:rsidRPr="00B74989">
        <w:rPr>
          <w:rFonts w:ascii="Arial" w:hAnsi="Arial"/>
          <w:u w:val="single"/>
          <w:rtl/>
        </w:rPr>
        <w:t xml:space="preserve"> </w:t>
      </w:r>
      <w:r w:rsidRPr="00B74989">
        <w:rPr>
          <w:rFonts w:ascii="Arial" w:hAnsi="Arial" w:hint="eastAsia"/>
          <w:u w:val="single"/>
          <w:rtl/>
        </w:rPr>
        <w:t>קמא</w:t>
      </w:r>
      <w:r w:rsidRPr="00B74989">
        <w:rPr>
          <w:rFonts w:ascii="Arial" w:hAnsi="Arial" w:hint="cs"/>
          <w:rtl/>
        </w:rPr>
        <w:t xml:space="preserve">: </w:t>
      </w:r>
    </w:p>
    <w:p w14:paraId="6231B0A8" w14:textId="77777777" w:rsidR="00B74989" w:rsidRPr="00B74989" w:rsidRDefault="00B74989" w:rsidP="00B74989">
      <w:pPr>
        <w:spacing w:after="120" w:line="360" w:lineRule="auto"/>
        <w:ind w:left="1417" w:right="1134" w:hanging="720"/>
        <w:jc w:val="both"/>
        <w:rPr>
          <w:rFonts w:ascii="Arial" w:hAnsi="Arial"/>
          <w:b/>
          <w:bCs/>
          <w:rtl/>
        </w:rPr>
      </w:pPr>
      <w:r>
        <w:rPr>
          <w:rFonts w:ascii="Arial" w:hAnsi="Arial"/>
          <w:rtl/>
        </w:rPr>
        <w:tab/>
      </w:r>
      <w:r w:rsidRPr="00B74989">
        <w:rPr>
          <w:rFonts w:ascii="Arial" w:hAnsi="Arial"/>
          <w:rtl/>
        </w:rPr>
        <w:t>"</w:t>
      </w:r>
      <w:r w:rsidRPr="00B74989">
        <w:rPr>
          <w:rFonts w:ascii="Arial" w:hAnsi="Arial"/>
          <w:b/>
          <w:bCs/>
          <w:rtl/>
        </w:rPr>
        <w:t xml:space="preserve">מכל האמור לעיל עולה כי הצדדים חתמו על ההסכם בהיותם ידועים בציבור, מבלי שעמדו להינשא בקרוב לחתימתו ונישאו בפועל למעלה משנתיים לאחר מכן </w:t>
      </w:r>
      <w:r w:rsidRPr="00B74989">
        <w:rPr>
          <w:rFonts w:ascii="Arial" w:hAnsi="Arial" w:hint="cs"/>
          <w:b/>
          <w:bCs/>
          <w:rtl/>
        </w:rPr>
        <w:t>-</w:t>
      </w:r>
      <w:r w:rsidRPr="00B74989">
        <w:rPr>
          <w:rFonts w:ascii="Arial" w:hAnsi="Arial"/>
          <w:b/>
          <w:bCs/>
          <w:rtl/>
        </w:rPr>
        <w:t xml:space="preserve"> ועל כן הנוטריון לא היה מוסמך לאמתו; בנוסף, אין בהסכם הוראה הצופה נישואין ו/או פקיעת הנישואין, ולא נתן היה לאשרו כהסכם ממון בהתאם לחוק יחסי ממון. </w:t>
      </w:r>
    </w:p>
    <w:p w14:paraId="2752FD51" w14:textId="77777777" w:rsidR="00B74989" w:rsidRPr="00B74989" w:rsidRDefault="00B74989" w:rsidP="00B74989">
      <w:pPr>
        <w:spacing w:after="120" w:line="360" w:lineRule="auto"/>
        <w:ind w:left="1417" w:right="1134" w:hanging="720"/>
        <w:jc w:val="both"/>
        <w:rPr>
          <w:rFonts w:ascii="Arial" w:hAnsi="Arial"/>
          <w:b/>
          <w:bCs/>
        </w:rPr>
      </w:pPr>
      <w:r>
        <w:rPr>
          <w:rFonts w:ascii="Arial" w:hAnsi="Arial"/>
          <w:b/>
          <w:bCs/>
          <w:rtl/>
        </w:rPr>
        <w:tab/>
      </w:r>
      <w:r w:rsidRPr="00B74989">
        <w:rPr>
          <w:rFonts w:ascii="Arial" w:hAnsi="Arial"/>
          <w:b/>
          <w:bCs/>
          <w:rtl/>
        </w:rPr>
        <w:t xml:space="preserve">מכאן, שתכליתו של ההסכם </w:t>
      </w:r>
      <w:proofErr w:type="spellStart"/>
      <w:r w:rsidRPr="00B74989">
        <w:rPr>
          <w:rFonts w:ascii="Arial" w:hAnsi="Arial"/>
          <w:b/>
          <w:bCs/>
          <w:rtl/>
        </w:rPr>
        <w:t>היתה</w:t>
      </w:r>
      <w:proofErr w:type="spellEnd"/>
      <w:r w:rsidRPr="00B74989">
        <w:rPr>
          <w:rFonts w:ascii="Arial" w:hAnsi="Arial"/>
          <w:b/>
          <w:bCs/>
          <w:rtl/>
        </w:rPr>
        <w:t xml:space="preserve"> להסדיר את ענייניהם </w:t>
      </w:r>
      <w:proofErr w:type="spellStart"/>
      <w:r w:rsidRPr="00B74989">
        <w:rPr>
          <w:rFonts w:ascii="Arial" w:hAnsi="Arial"/>
          <w:b/>
          <w:bCs/>
          <w:rtl/>
        </w:rPr>
        <w:t>הרכושיים</w:t>
      </w:r>
      <w:proofErr w:type="spellEnd"/>
      <w:r w:rsidRPr="00B74989">
        <w:rPr>
          <w:rFonts w:ascii="Arial" w:hAnsi="Arial"/>
          <w:b/>
          <w:bCs/>
          <w:rtl/>
        </w:rPr>
        <w:t xml:space="preserve"> של בני הזוג הנובעים ממערכת היחסים ביניהם כל עוד הינם ידועים בציבור, ופקע עם נישואיהם</w:t>
      </w:r>
      <w:r>
        <w:rPr>
          <w:rFonts w:ascii="Arial" w:hAnsi="Arial" w:hint="cs"/>
          <w:b/>
          <w:bCs/>
          <w:rtl/>
        </w:rPr>
        <w:t>"</w:t>
      </w:r>
      <w:r w:rsidRPr="00B74989">
        <w:rPr>
          <w:rFonts w:ascii="Arial" w:hAnsi="Arial" w:hint="cs"/>
          <w:b/>
          <w:bCs/>
          <w:rtl/>
        </w:rPr>
        <w:t>.</w:t>
      </w:r>
    </w:p>
    <w:p w14:paraId="35CCCF90" w14:textId="77777777" w:rsidR="00B74989" w:rsidRPr="00B74989" w:rsidRDefault="00B74989" w:rsidP="00B74989">
      <w:pPr>
        <w:spacing w:after="120" w:line="360" w:lineRule="auto"/>
        <w:ind w:left="720" w:hanging="720"/>
        <w:jc w:val="both"/>
        <w:rPr>
          <w:rFonts w:ascii="Arial" w:hAnsi="Arial"/>
          <w:rtl/>
        </w:rPr>
      </w:pPr>
      <w:r>
        <w:rPr>
          <w:rFonts w:ascii="Arial" w:hAnsi="Arial"/>
          <w:rtl/>
        </w:rPr>
        <w:tab/>
      </w:r>
      <w:r w:rsidRPr="00B74989">
        <w:rPr>
          <w:rFonts w:ascii="Arial" w:hAnsi="Arial"/>
          <w:u w:val="single"/>
          <w:rtl/>
        </w:rPr>
        <w:t>בסעיף 57 לפסק הדין קמא נפסק</w:t>
      </w:r>
      <w:r w:rsidRPr="00B74989">
        <w:rPr>
          <w:rFonts w:ascii="Arial" w:hAnsi="Arial"/>
          <w:rtl/>
        </w:rPr>
        <w:t>:</w:t>
      </w:r>
    </w:p>
    <w:p w14:paraId="0D439790" w14:textId="77777777" w:rsidR="00B74989" w:rsidRPr="00B74989" w:rsidRDefault="00B74989" w:rsidP="00B74989">
      <w:pPr>
        <w:spacing w:after="120" w:line="360" w:lineRule="auto"/>
        <w:ind w:left="1417" w:right="1134" w:hanging="720"/>
        <w:jc w:val="both"/>
        <w:rPr>
          <w:rFonts w:ascii="Arial" w:hAnsi="Arial"/>
          <w:b/>
          <w:bCs/>
        </w:rPr>
      </w:pPr>
      <w:r>
        <w:rPr>
          <w:rFonts w:ascii="Arial" w:hAnsi="Arial"/>
          <w:rtl/>
        </w:rPr>
        <w:tab/>
      </w:r>
      <w:r w:rsidRPr="00B74989">
        <w:rPr>
          <w:rFonts w:ascii="Arial" w:hAnsi="Arial"/>
          <w:rtl/>
        </w:rPr>
        <w:t>"</w:t>
      </w:r>
      <w:r w:rsidRPr="00B74989">
        <w:rPr>
          <w:rFonts w:ascii="Arial" w:hAnsi="Arial"/>
          <w:b/>
          <w:bCs/>
          <w:rtl/>
        </w:rPr>
        <w:t xml:space="preserve">מכל הנימוקים שפורטו לעיל ולאחר שעיינתי בכל חומר הראיות שהונח בפני ושקלתי טענות הצדדים, הנני מורה כי ההסכם שנחתם בין הצדדים ביום </w:t>
      </w:r>
      <w:r w:rsidR="00063399">
        <w:rPr>
          <w:rFonts w:ascii="Arial" w:hAnsi="Arial" w:hint="cs"/>
          <w:b/>
          <w:bCs/>
          <w:rtl/>
        </w:rPr>
        <w:t>00</w:t>
      </w:r>
      <w:r w:rsidRPr="00B74989">
        <w:rPr>
          <w:rFonts w:ascii="Arial" w:hAnsi="Arial"/>
          <w:b/>
          <w:bCs/>
          <w:rtl/>
        </w:rPr>
        <w:t>.</w:t>
      </w:r>
      <w:r w:rsidR="00063399">
        <w:rPr>
          <w:rFonts w:ascii="Arial" w:hAnsi="Arial" w:hint="cs"/>
          <w:b/>
          <w:bCs/>
          <w:rtl/>
        </w:rPr>
        <w:t>00</w:t>
      </w:r>
      <w:r w:rsidRPr="00B74989">
        <w:rPr>
          <w:rFonts w:ascii="Arial" w:hAnsi="Arial"/>
          <w:b/>
          <w:bCs/>
          <w:rtl/>
        </w:rPr>
        <w:t>.2004 יחול לתקופה שעד לנישואיהם (</w:t>
      </w:r>
      <w:r w:rsidR="00063399">
        <w:rPr>
          <w:rFonts w:ascii="Arial" w:hAnsi="Arial" w:hint="cs"/>
          <w:b/>
          <w:bCs/>
          <w:rtl/>
        </w:rPr>
        <w:t>00</w:t>
      </w:r>
      <w:r w:rsidRPr="00B74989">
        <w:rPr>
          <w:rFonts w:ascii="Arial" w:hAnsi="Arial"/>
          <w:b/>
          <w:bCs/>
          <w:rtl/>
        </w:rPr>
        <w:t>.</w:t>
      </w:r>
      <w:r w:rsidR="00063399">
        <w:rPr>
          <w:rFonts w:ascii="Arial" w:hAnsi="Arial" w:hint="cs"/>
          <w:b/>
          <w:bCs/>
          <w:rtl/>
        </w:rPr>
        <w:t>00</w:t>
      </w:r>
      <w:r w:rsidRPr="00B74989">
        <w:rPr>
          <w:rFonts w:ascii="Arial" w:hAnsi="Arial"/>
          <w:b/>
          <w:bCs/>
          <w:rtl/>
        </w:rPr>
        <w:t xml:space="preserve">.2007). </w:t>
      </w:r>
    </w:p>
    <w:p w14:paraId="751A3764" w14:textId="77777777" w:rsidR="00B74989" w:rsidRPr="00B74989" w:rsidRDefault="00B74989" w:rsidP="00B74989">
      <w:pPr>
        <w:spacing w:after="120" w:line="360" w:lineRule="auto"/>
        <w:ind w:left="1417" w:right="1134" w:hanging="720"/>
        <w:jc w:val="both"/>
        <w:rPr>
          <w:rFonts w:ascii="Arial" w:hAnsi="Arial"/>
          <w:b/>
          <w:bCs/>
          <w:rtl/>
        </w:rPr>
      </w:pPr>
      <w:r>
        <w:rPr>
          <w:rFonts w:ascii="Arial" w:hAnsi="Arial"/>
          <w:b/>
          <w:bCs/>
          <w:rtl/>
        </w:rPr>
        <w:tab/>
      </w:r>
      <w:r w:rsidRPr="00B74989">
        <w:rPr>
          <w:rFonts w:ascii="Arial" w:hAnsi="Arial"/>
          <w:b/>
          <w:bCs/>
          <w:rtl/>
        </w:rPr>
        <w:t>החל מיום הנישואין ואילך, יחול על הצדדים חוק יחסי ממון.</w:t>
      </w:r>
      <w:r w:rsidRPr="00B74989">
        <w:rPr>
          <w:rFonts w:ascii="Arial" w:hAnsi="Arial"/>
          <w:rtl/>
        </w:rPr>
        <w:t>"</w:t>
      </w:r>
      <w:r w:rsidRPr="00B74989">
        <w:rPr>
          <w:rFonts w:ascii="Arial" w:hAnsi="Arial"/>
          <w:b/>
          <w:bCs/>
          <w:rtl/>
        </w:rPr>
        <w:t xml:space="preserve"> </w:t>
      </w:r>
    </w:p>
    <w:p w14:paraId="09CBED7E"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lastRenderedPageBreak/>
        <w:t xml:space="preserve">ברקע יצוין כי הצדדים חתמו ביום </w:t>
      </w:r>
      <w:r w:rsidR="00063399">
        <w:rPr>
          <w:rFonts w:ascii="Arial" w:hAnsi="Arial" w:hint="cs"/>
          <w:rtl/>
        </w:rPr>
        <w:t>00</w:t>
      </w:r>
      <w:r w:rsidRPr="00B74989">
        <w:rPr>
          <w:rFonts w:ascii="Arial" w:hAnsi="Arial" w:hint="cs"/>
          <w:rtl/>
        </w:rPr>
        <w:t>.</w:t>
      </w:r>
      <w:r w:rsidR="00063399">
        <w:rPr>
          <w:rFonts w:ascii="Arial" w:hAnsi="Arial" w:hint="cs"/>
          <w:rtl/>
        </w:rPr>
        <w:t>00</w:t>
      </w:r>
      <w:r w:rsidRPr="00B74989">
        <w:rPr>
          <w:rFonts w:ascii="Arial" w:hAnsi="Arial" w:hint="cs"/>
          <w:rtl/>
        </w:rPr>
        <w:t>.2004 על הסכם שנערך ואושר על ידי נוטריון (להלן: "</w:t>
      </w:r>
      <w:r w:rsidRPr="00B74989">
        <w:rPr>
          <w:rFonts w:ascii="Arial" w:hAnsi="Arial" w:hint="cs"/>
          <w:b/>
          <w:bCs/>
          <w:rtl/>
        </w:rPr>
        <w:t>ההסכם</w:t>
      </w:r>
      <w:r w:rsidRPr="00B74989">
        <w:rPr>
          <w:rFonts w:ascii="Arial" w:hAnsi="Arial" w:hint="cs"/>
          <w:rtl/>
        </w:rPr>
        <w:t xml:space="preserve">"). </w:t>
      </w:r>
      <w:r w:rsidRPr="00B74989">
        <w:rPr>
          <w:rFonts w:ascii="Arial" w:hAnsi="Arial"/>
          <w:rtl/>
        </w:rPr>
        <w:t>עיקרו של ההסכם</w:t>
      </w:r>
      <w:r w:rsidRPr="00B74989">
        <w:rPr>
          <w:rFonts w:ascii="Arial" w:hAnsi="Arial" w:hint="cs"/>
          <w:rtl/>
        </w:rPr>
        <w:t xml:space="preserve"> הינו </w:t>
      </w:r>
      <w:r w:rsidRPr="00B74989">
        <w:rPr>
          <w:rFonts w:ascii="Arial" w:hAnsi="Arial"/>
          <w:rtl/>
        </w:rPr>
        <w:t xml:space="preserve">הפרדה </w:t>
      </w:r>
      <w:proofErr w:type="spellStart"/>
      <w:r w:rsidRPr="00B74989">
        <w:rPr>
          <w:rFonts w:ascii="Arial" w:hAnsi="Arial"/>
          <w:rtl/>
        </w:rPr>
        <w:t>רכושית</w:t>
      </w:r>
      <w:proofErr w:type="spellEnd"/>
      <w:r w:rsidRPr="00B74989">
        <w:rPr>
          <w:rFonts w:ascii="Arial" w:hAnsi="Arial"/>
          <w:rtl/>
        </w:rPr>
        <w:t xml:space="preserve"> בין בני</w:t>
      </w:r>
      <w:r w:rsidRPr="00B74989">
        <w:rPr>
          <w:rFonts w:ascii="Arial" w:hAnsi="Arial" w:hint="cs"/>
          <w:rtl/>
        </w:rPr>
        <w:t xml:space="preserve"> </w:t>
      </w:r>
      <w:r w:rsidRPr="00B74989">
        <w:rPr>
          <w:rFonts w:ascii="Arial" w:hAnsi="Arial"/>
          <w:rtl/>
        </w:rPr>
        <w:t>הז</w:t>
      </w:r>
      <w:r w:rsidRPr="00B74989">
        <w:rPr>
          <w:rFonts w:ascii="Arial" w:hAnsi="Arial" w:hint="cs"/>
          <w:rtl/>
        </w:rPr>
        <w:t>וג</w:t>
      </w:r>
      <w:r w:rsidRPr="00B74989">
        <w:rPr>
          <w:rFonts w:ascii="Arial" w:hAnsi="Arial"/>
          <w:rtl/>
        </w:rPr>
        <w:t>.</w:t>
      </w:r>
      <w:r w:rsidRPr="00B74989">
        <w:rPr>
          <w:rFonts w:ascii="Arial" w:hAnsi="Arial" w:hint="cs"/>
          <w:rtl/>
        </w:rPr>
        <w:t xml:space="preserve"> בחלוף כשנתיים, </w:t>
      </w:r>
      <w:r w:rsidRPr="00B74989">
        <w:rPr>
          <w:rFonts w:ascii="Arial" w:hAnsi="Arial"/>
          <w:rtl/>
        </w:rPr>
        <w:t xml:space="preserve"> </w:t>
      </w:r>
      <w:r w:rsidRPr="00B74989">
        <w:rPr>
          <w:rFonts w:ascii="Arial" w:hAnsi="Arial" w:hint="cs"/>
          <w:rtl/>
        </w:rPr>
        <w:t xml:space="preserve">ביום </w:t>
      </w:r>
      <w:r w:rsidR="00063399">
        <w:rPr>
          <w:rFonts w:ascii="Arial" w:hAnsi="Arial" w:hint="cs"/>
          <w:rtl/>
        </w:rPr>
        <w:t>00</w:t>
      </w:r>
      <w:r w:rsidRPr="00B74989">
        <w:rPr>
          <w:rFonts w:ascii="Arial" w:hAnsi="Arial" w:hint="cs"/>
          <w:rtl/>
        </w:rPr>
        <w:t>.</w:t>
      </w:r>
      <w:r w:rsidR="00063399">
        <w:rPr>
          <w:rFonts w:ascii="Arial" w:hAnsi="Arial" w:hint="cs"/>
          <w:rtl/>
        </w:rPr>
        <w:t>00</w:t>
      </w:r>
      <w:r w:rsidRPr="00B74989">
        <w:rPr>
          <w:rFonts w:ascii="Arial" w:hAnsi="Arial" w:hint="cs"/>
          <w:rtl/>
        </w:rPr>
        <w:t xml:space="preserve">.2007, נישאו הצדדים זה לזו כדמו"י. </w:t>
      </w:r>
      <w:r w:rsidR="00902AB1">
        <w:rPr>
          <w:rFonts w:ascii="Arial" w:hAnsi="Arial" w:hint="cs"/>
          <w:rtl/>
        </w:rPr>
        <w:t>האיש</w:t>
      </w:r>
      <w:r w:rsidRPr="00B74989">
        <w:rPr>
          <w:rFonts w:ascii="Arial" w:hAnsi="Arial" w:hint="cs"/>
          <w:rtl/>
        </w:rPr>
        <w:t xml:space="preserve"> היה כבן 50 ולו ילדים מנישואיו הראשונים, </w:t>
      </w:r>
      <w:r w:rsidR="00902AB1">
        <w:rPr>
          <w:rFonts w:ascii="Arial" w:hAnsi="Arial" w:hint="cs"/>
          <w:rtl/>
        </w:rPr>
        <w:t>האישה</w:t>
      </w:r>
      <w:r w:rsidRPr="00B74989">
        <w:rPr>
          <w:rFonts w:ascii="Arial" w:hAnsi="Arial" w:hint="cs"/>
          <w:rtl/>
        </w:rPr>
        <w:t xml:space="preserve"> הייתה כבת 30 ואלו היו לה נישואיה הראשונים. ביום </w:t>
      </w:r>
      <w:r w:rsidR="00063399">
        <w:rPr>
          <w:rFonts w:ascii="Arial" w:hAnsi="Arial" w:hint="cs"/>
          <w:rtl/>
        </w:rPr>
        <w:t>00</w:t>
      </w:r>
      <w:r w:rsidRPr="00B74989">
        <w:rPr>
          <w:rFonts w:ascii="Arial" w:hAnsi="Arial" w:hint="cs"/>
          <w:rtl/>
        </w:rPr>
        <w:t>.</w:t>
      </w:r>
      <w:r w:rsidR="00063399">
        <w:rPr>
          <w:rFonts w:ascii="Arial" w:hAnsi="Arial" w:hint="cs"/>
          <w:rtl/>
        </w:rPr>
        <w:t>00</w:t>
      </w:r>
      <w:r w:rsidRPr="00B74989">
        <w:rPr>
          <w:rFonts w:ascii="Arial" w:hAnsi="Arial" w:hint="cs"/>
          <w:rtl/>
        </w:rPr>
        <w:t xml:space="preserve">.2008 נולדה בתם המשותפת. בסמוך לחודש </w:t>
      </w:r>
      <w:r w:rsidR="00063399">
        <w:rPr>
          <w:rFonts w:ascii="Arial" w:hAnsi="Arial" w:hint="cs"/>
          <w:rtl/>
        </w:rPr>
        <w:t>00</w:t>
      </w:r>
      <w:r w:rsidRPr="00B74989">
        <w:rPr>
          <w:rFonts w:ascii="Arial" w:hAnsi="Arial" w:hint="cs"/>
          <w:rtl/>
        </w:rPr>
        <w:t>.2018 נפרדו הצדדים.</w:t>
      </w:r>
    </w:p>
    <w:p w14:paraId="6F62BF7B"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t xml:space="preserve">בית משפט קמא בחן את טענות הצדדים (סעיפים 1–31 לפסק הדין קמא), את המסגרת הנורמטיבית החלה על ההליך – סעיף 3 לחוק יחסי ממון והפנה לפסיקה הרלוונטית. בית משפט קמא קבע כי הסכם אשר נחתם בין בני זוג שאינם נשואים תקף אך ורק לתקופת היותם ידועים בציבור ומעת נישואיהם חלות הוראות חוק יחסי ממון, וכי בני זוג המבקשים ליתן להסכם שנחתם ביניהם בעת שהיו ידועים בציבור תוקף מחייב גם לתקופת הנישואין, עליהם לאשר מחדש את ההסכם לפני הערכאה המוסמכת בהתאם לחוק (סעיפים 33–34 לפסק הדין קמא). </w:t>
      </w:r>
    </w:p>
    <w:p w14:paraId="3A58C12D" w14:textId="77777777" w:rsidR="00B74989" w:rsidRPr="00B74989" w:rsidRDefault="00B74989" w:rsidP="00B74989">
      <w:pPr>
        <w:numPr>
          <w:ilvl w:val="0"/>
          <w:numId w:val="1"/>
        </w:numPr>
        <w:spacing w:after="120" w:line="360" w:lineRule="auto"/>
        <w:ind w:hanging="720"/>
        <w:jc w:val="both"/>
        <w:rPr>
          <w:rFonts w:ascii="Arial" w:hAnsi="Arial"/>
          <w:rtl/>
        </w:rPr>
      </w:pPr>
      <w:r w:rsidRPr="00B74989">
        <w:rPr>
          <w:rFonts w:ascii="Arial" w:hAnsi="Arial" w:hint="cs"/>
          <w:rtl/>
        </w:rPr>
        <w:t xml:space="preserve">בית משפט קמא בחן האם ניתן לראות את הצדדים כבני זוג שעמדו בפני נישואין בעת חתימת ההסכם ובאופן שלנוטריון הייתה סמכות לאמת ההסכם ביניהם כהסכם ממון, והשיב על כך, לאחר בחינת העדויות והראיות, בשלילה (סעיפים 35–44 לפסק הדין קמא). </w:t>
      </w:r>
      <w:r w:rsidRPr="00B74989">
        <w:rPr>
          <w:rFonts w:ascii="Arial" w:hAnsi="Arial"/>
          <w:rtl/>
        </w:rPr>
        <w:t>ההסכם אומת ע</w:t>
      </w:r>
      <w:r w:rsidRPr="00B74989">
        <w:rPr>
          <w:rFonts w:ascii="Arial" w:hAnsi="Arial" w:hint="cs"/>
          <w:rtl/>
        </w:rPr>
        <w:t xml:space="preserve">ל </w:t>
      </w:r>
      <w:r w:rsidRPr="00B74989">
        <w:rPr>
          <w:rFonts w:ascii="Arial" w:hAnsi="Arial"/>
          <w:rtl/>
        </w:rPr>
        <w:t>י</w:t>
      </w:r>
      <w:r w:rsidRPr="00B74989">
        <w:rPr>
          <w:rFonts w:ascii="Arial" w:hAnsi="Arial" w:hint="cs"/>
          <w:rtl/>
        </w:rPr>
        <w:t>די</w:t>
      </w:r>
      <w:r w:rsidRPr="00B74989">
        <w:rPr>
          <w:rFonts w:ascii="Arial" w:hAnsi="Arial"/>
          <w:rtl/>
        </w:rPr>
        <w:t xml:space="preserve"> נוטריון כהסכם טרום נישואין בהתאם לסע</w:t>
      </w:r>
      <w:r w:rsidRPr="00B74989">
        <w:rPr>
          <w:rFonts w:ascii="Arial" w:hAnsi="Arial" w:hint="cs"/>
          <w:rtl/>
        </w:rPr>
        <w:t>יף</w:t>
      </w:r>
      <w:r w:rsidRPr="00B74989">
        <w:rPr>
          <w:rFonts w:ascii="Arial" w:hAnsi="Arial"/>
          <w:rtl/>
        </w:rPr>
        <w:t xml:space="preserve"> 2(ג1) לחוק</w:t>
      </w:r>
      <w:r w:rsidRPr="00B74989">
        <w:rPr>
          <w:rFonts w:ascii="Arial" w:hAnsi="Arial" w:hint="cs"/>
          <w:rtl/>
        </w:rPr>
        <w:t xml:space="preserve">, עם זאת, הצדדים נישאו </w:t>
      </w:r>
      <w:r w:rsidRPr="00B74989">
        <w:rPr>
          <w:rFonts w:ascii="Arial" w:hAnsi="Arial"/>
          <w:rtl/>
        </w:rPr>
        <w:t>רק בחלוף מעלה משנתיים לאחר מועד חתימתו</w:t>
      </w:r>
      <w:r w:rsidRPr="00B74989">
        <w:rPr>
          <w:rFonts w:ascii="Arial" w:hAnsi="Arial" w:hint="cs"/>
          <w:rtl/>
        </w:rPr>
        <w:t xml:space="preserve"> (סעיף 35 לפסק הדין קמא); לא נמצא כי הצדדים עמדו להינשא בסמוך למועד חתימת ההסכם, ואף ספק אם במועד חתימת ההסכם גמרו אומר ביניהם להינשא כלל, וזאת אחר שבחן את עדויות הנוטריון והצדדים (סעיפים 36–38 לפסק הדין קמא); בית משפט קמא דחה את טענת המערער כי די בעובדה שהנוטריון אימת את ההסכם לפי סעיף 2(ג1) לחוק יחסי ממון, וקבע כי תקופה של שנתיים וחצי לאחר חתימת ההסכם אינה נחשבת בסמוך לנישואין (סעיף 39 לפסק הדין קמא); בהמשך בחן בית המשפט את נוסחו של ההסכם והגיע למסקנה כי אין מדובר בהסכם ממון טרום נישואין אלא בהסכם בין ידועים בציבור שנועד להסדיר את יחסיהם לעת פירוד. בהסכם לא מוזכרת המילה "נישואין", ההסכם נושא כותרת "הסכם" בלבד, לשונו אינה מרמזת על כוונת הצדדים להינשא, הוא אינו מתייחס לאפשרות הולדת ילדים משותפים ואינו מתייחס לגירושין (סעיפים 40–41 לפסק הדין קמא). בית משפט קמא הסיק מסעיף 13 להסכם, המאפשר לצדדים לשוב ולדון בהוראותיו בתום שנה מחתימתו, כי הם לא ראו בהסכם כהסדר רכושי סופי אלא ככזה שיחול לתקופה מסוימת (סעיף 42 לפסק הדין קמא). בהמשך בחן בית משפט קמא האם מתקיימים חריגים להחלת ההסכם, תוך בחינת התנהלות הצדדים לאחר נישואיהם (שינוי צוואה ומוטבים בפוליסת ביטוח, הפקדת כספים בחשבון על שם המשיבה, חשבונות הבנק) ומצא כי מדובר בפעולות המנוגדות להוראות ההסכם וסותרות את טענת המערער כי פעלו באופן דווקני בהתאם להוראות ההסכם (סעיפים 45–49 לפסק הדין קמא); בית משפט קמא בחן קטעים מיומנה האישי של המשיבה ומצא כי אין בהם כדי ללמד על </w:t>
      </w:r>
      <w:proofErr w:type="spellStart"/>
      <w:r w:rsidRPr="00B74989">
        <w:rPr>
          <w:rFonts w:ascii="Arial" w:hAnsi="Arial" w:hint="cs"/>
          <w:rtl/>
        </w:rPr>
        <w:t>אומד</w:t>
      </w:r>
      <w:proofErr w:type="spellEnd"/>
      <w:r w:rsidRPr="00B74989">
        <w:rPr>
          <w:rFonts w:ascii="Arial" w:hAnsi="Arial" w:hint="cs"/>
          <w:rtl/>
        </w:rPr>
        <w:t xml:space="preserve"> דעתם של מי מהם לגבי הזכויות המגיעות לו, קל וחומר לעניין תקפותו של ההסכם (סעיף 54 לפסק הדין קמא).</w:t>
      </w:r>
    </w:p>
    <w:p w14:paraId="79F7BFF9" w14:textId="77777777" w:rsidR="00B74989" w:rsidRPr="00B74989" w:rsidRDefault="00B74989" w:rsidP="00B74989">
      <w:pPr>
        <w:numPr>
          <w:ilvl w:val="0"/>
          <w:numId w:val="1"/>
        </w:numPr>
        <w:spacing w:after="120" w:line="360" w:lineRule="auto"/>
        <w:ind w:hanging="720"/>
        <w:jc w:val="both"/>
        <w:rPr>
          <w:rFonts w:ascii="Arial" w:hAnsi="Arial"/>
          <w:rtl/>
        </w:rPr>
      </w:pPr>
      <w:r w:rsidRPr="00B74989">
        <w:rPr>
          <w:rFonts w:ascii="Arial" w:hAnsi="Arial" w:hint="cs"/>
          <w:rtl/>
        </w:rPr>
        <w:t xml:space="preserve">בערעורו של המערער, נטען בתמצית, כי בית משפט קמא שגה בפסק דינו שכן המערער היה נשוי בעבר ולו ילדים נוספים, הוא רצה לערוך הפרדה </w:t>
      </w:r>
      <w:proofErr w:type="spellStart"/>
      <w:r w:rsidRPr="00B74989">
        <w:rPr>
          <w:rFonts w:ascii="Arial" w:hAnsi="Arial" w:hint="cs"/>
          <w:rtl/>
        </w:rPr>
        <w:t>רכושית</w:t>
      </w:r>
      <w:proofErr w:type="spellEnd"/>
      <w:r w:rsidRPr="00B74989">
        <w:rPr>
          <w:rFonts w:ascii="Arial" w:hAnsi="Arial" w:hint="cs"/>
          <w:rtl/>
        </w:rPr>
        <w:t xml:space="preserve"> בינו לבין המשיבה לכן פנה לנוטריון כדי להוציא לפועל </w:t>
      </w:r>
      <w:r w:rsidRPr="00B74989">
        <w:rPr>
          <w:rFonts w:ascii="Arial" w:hAnsi="Arial" w:hint="cs"/>
          <w:rtl/>
        </w:rPr>
        <w:lastRenderedPageBreak/>
        <w:t>כוונה זו, הנוטריון אישר את ההסכם רק לאחר שהובהר לו כי כוונת הצדדים להינשא זה לזו, הנישואין נדחו בשל מצבה הרפואי של המשיבה, המערער הפקיד זרע כדי ליצור תא משפחתי, בית משפט קמא שגה שלא קיבל את עדות הנוטריון, שלא דן אם ההסכם צופה פני עתיד, שלא בחן את מהותו והגיונו של ההסכם, זאת נוכח הפערים שהיו בין הצדדים, הן לעניין הגיל והן לעניין הרכוש, שגה בכך שלא התייחס לעובדה שהמשיבה לא פנתה למערער מעולם כדי לשנות את תנאי ההסכם, שגה שהסתמך על סעיף 13 להסכם המאפשר לצדדים להסכים לשנותו בעתיד והעובדה שהדבר לא נעשה מדברת בעד עצמה, שקבע כי הצדדים התנהלו אחרת מהקבוע בו, שפעולותיו במהלך הנישואין אינה מלמדת על דבר לעניין צבירת הנכסים ושלא מצא לאשרר ההסכם מכוח עקרונות היושר ותום הלב.</w:t>
      </w:r>
    </w:p>
    <w:p w14:paraId="308CB17D" w14:textId="77777777" w:rsidR="00B74989" w:rsidRPr="00B74989" w:rsidRDefault="00B74989" w:rsidP="00B74989">
      <w:pPr>
        <w:numPr>
          <w:ilvl w:val="0"/>
          <w:numId w:val="1"/>
        </w:numPr>
        <w:spacing w:after="120" w:line="360" w:lineRule="auto"/>
        <w:ind w:hanging="720"/>
        <w:jc w:val="both"/>
        <w:rPr>
          <w:rFonts w:ascii="Arial" w:hAnsi="Arial"/>
          <w:rtl/>
        </w:rPr>
      </w:pPr>
      <w:r w:rsidRPr="00B74989">
        <w:rPr>
          <w:rFonts w:ascii="Arial" w:hAnsi="Arial" w:hint="cs"/>
          <w:rtl/>
        </w:rPr>
        <w:t xml:space="preserve">בתשובת המשיבה, נטען בתמצית כי דין הערעור להידחות, כי פסק הדין קמא מנומק, נעדר טעויות,  הממצאים העובדתיים התבססו על שמיעת עדויות בעל פה, התרשמות מעדים ומראיות בכתב, כי בית משפט קמא לא שוכנע שבמועד חתימת ההסכם הצדדים התעתדו להתחתן, ההסכם לא כלל כל מילה שהצדדים יהיו "בעל ואישה", הוא נעדר המילה "נישואין" אלא רק קיום מערכת יחסים זוגית, לחלופין חיים משותפים, ההסכם אינו כולל התייחסות לגירושין עתידיים במידה ויתרחשו, סיום החיים המשותפים נקבע בהסכם לפי הודעה ולא לפי סידור גט / התרת נישואין, ההסכם נחתם בשל חשש ולחץ ילדיו של המערער כי כוונת המשיבה </w:t>
      </w:r>
      <w:proofErr w:type="spellStart"/>
      <w:r w:rsidRPr="00B74989">
        <w:rPr>
          <w:rFonts w:ascii="Arial" w:hAnsi="Arial" w:hint="cs"/>
          <w:rtl/>
        </w:rPr>
        <w:t>לעשקו</w:t>
      </w:r>
      <w:proofErr w:type="spellEnd"/>
      <w:r w:rsidRPr="00B74989">
        <w:rPr>
          <w:rFonts w:ascii="Arial" w:hAnsi="Arial" w:hint="cs"/>
          <w:rtl/>
        </w:rPr>
        <w:t xml:space="preserve"> כלכלית, אך אין הסכם זה צפה משטר כלכלי שלאחר הנישואין, כי הנוטריון הינו חברו של המערער המייצג אותו גם בעניינים עסקיים ואישיים מזה 20 שנים והוא נעדר כל סמכות לאשר הסכם של חיים משותפים, כי טענת המערער ביחס לדחיית הנישואין בשל מצב רפואי הסתמכה על אישור אורתופד ממועד שקדם ליום אישור ההסכם, כי הצדדים לא פעלו בהתאם להסכם ולקבוע בו, כי ההסכם לא עומד בדרישות החוק, כי וויתור על זכויות מכוח החוק מחייב הסכמה פוזיטיבית ומפורשת שאינה משתמעת לשני פנים, כי כל ספק לעניין זה אמור לפעול לטובתה ושיש לדחות את גרסתו אף מן הפן המוסרי.</w:t>
      </w:r>
    </w:p>
    <w:p w14:paraId="2081CFF8" w14:textId="77777777" w:rsidR="00B74989" w:rsidRPr="00B74989" w:rsidRDefault="00B74989" w:rsidP="00B74989">
      <w:pPr>
        <w:numPr>
          <w:ilvl w:val="0"/>
          <w:numId w:val="1"/>
        </w:numPr>
        <w:spacing w:after="120" w:line="360" w:lineRule="auto"/>
        <w:ind w:hanging="720"/>
        <w:jc w:val="both"/>
        <w:rPr>
          <w:rFonts w:ascii="Arial" w:hAnsi="Arial"/>
          <w:u w:val="single"/>
        </w:rPr>
      </w:pPr>
      <w:r w:rsidRPr="00B74989">
        <w:rPr>
          <w:rFonts w:ascii="Arial" w:hAnsi="Arial"/>
          <w:b/>
          <w:bCs/>
          <w:u w:val="single"/>
          <w:rtl/>
        </w:rPr>
        <w:t>לאחר עיון בפסק הדין קמא, בכתב</w:t>
      </w:r>
      <w:r w:rsidRPr="00B74989">
        <w:rPr>
          <w:rFonts w:ascii="Arial" w:hAnsi="Arial" w:hint="eastAsia"/>
          <w:b/>
          <w:bCs/>
          <w:u w:val="single"/>
          <w:rtl/>
        </w:rPr>
        <w:t>י</w:t>
      </w:r>
      <w:r w:rsidRPr="00B74989">
        <w:rPr>
          <w:rFonts w:ascii="Arial" w:hAnsi="Arial"/>
          <w:b/>
          <w:bCs/>
          <w:u w:val="single"/>
          <w:rtl/>
        </w:rPr>
        <w:t xml:space="preserve"> הטענות </w:t>
      </w:r>
      <w:r w:rsidRPr="00B74989">
        <w:rPr>
          <w:rFonts w:ascii="Arial" w:hAnsi="Arial" w:hint="eastAsia"/>
          <w:b/>
          <w:bCs/>
          <w:u w:val="single"/>
          <w:rtl/>
        </w:rPr>
        <w:t>ולאחר</w:t>
      </w:r>
      <w:r w:rsidRPr="00B74989">
        <w:rPr>
          <w:rFonts w:ascii="Arial" w:hAnsi="Arial"/>
          <w:b/>
          <w:bCs/>
          <w:u w:val="single"/>
          <w:rtl/>
        </w:rPr>
        <w:t xml:space="preserve"> </w:t>
      </w:r>
      <w:r w:rsidRPr="00B74989">
        <w:rPr>
          <w:rFonts w:ascii="Arial" w:hAnsi="Arial" w:hint="eastAsia"/>
          <w:b/>
          <w:bCs/>
          <w:u w:val="single"/>
          <w:rtl/>
        </w:rPr>
        <w:t>ששמענו</w:t>
      </w:r>
      <w:r w:rsidRPr="00B74989">
        <w:rPr>
          <w:rFonts w:ascii="Arial" w:hAnsi="Arial"/>
          <w:b/>
          <w:bCs/>
          <w:u w:val="single"/>
          <w:rtl/>
        </w:rPr>
        <w:t xml:space="preserve"> </w:t>
      </w:r>
      <w:r w:rsidRPr="00B74989">
        <w:rPr>
          <w:rFonts w:ascii="Arial" w:hAnsi="Arial" w:hint="eastAsia"/>
          <w:b/>
          <w:bCs/>
          <w:u w:val="single"/>
          <w:rtl/>
        </w:rPr>
        <w:t>את</w:t>
      </w:r>
      <w:r w:rsidRPr="00B74989">
        <w:rPr>
          <w:rFonts w:ascii="Arial" w:hAnsi="Arial"/>
          <w:b/>
          <w:bCs/>
          <w:u w:val="single"/>
          <w:rtl/>
        </w:rPr>
        <w:t xml:space="preserve"> </w:t>
      </w:r>
      <w:r w:rsidRPr="00B74989">
        <w:rPr>
          <w:rFonts w:ascii="Arial" w:hAnsi="Arial" w:hint="eastAsia"/>
          <w:b/>
          <w:bCs/>
          <w:u w:val="single"/>
          <w:rtl/>
        </w:rPr>
        <w:t>טיעוני</w:t>
      </w:r>
      <w:r w:rsidRPr="00B74989">
        <w:rPr>
          <w:rFonts w:ascii="Arial" w:hAnsi="Arial"/>
          <w:b/>
          <w:bCs/>
          <w:u w:val="single"/>
          <w:rtl/>
        </w:rPr>
        <w:t xml:space="preserve"> </w:t>
      </w:r>
      <w:r w:rsidRPr="00B74989">
        <w:rPr>
          <w:rFonts w:ascii="Arial" w:hAnsi="Arial" w:hint="eastAsia"/>
          <w:b/>
          <w:bCs/>
          <w:u w:val="single"/>
          <w:rtl/>
        </w:rPr>
        <w:t>באי</w:t>
      </w:r>
      <w:r w:rsidRPr="00B74989">
        <w:rPr>
          <w:rFonts w:ascii="Arial" w:hAnsi="Arial"/>
          <w:b/>
          <w:bCs/>
          <w:u w:val="single"/>
          <w:rtl/>
        </w:rPr>
        <w:t xml:space="preserve"> </w:t>
      </w:r>
      <w:r w:rsidRPr="00B74989">
        <w:rPr>
          <w:rFonts w:ascii="Arial" w:hAnsi="Arial" w:hint="eastAsia"/>
          <w:b/>
          <w:bCs/>
          <w:u w:val="single"/>
          <w:rtl/>
        </w:rPr>
        <w:t>כוח</w:t>
      </w:r>
      <w:r w:rsidRPr="00B74989">
        <w:rPr>
          <w:rFonts w:ascii="Arial" w:hAnsi="Arial"/>
          <w:b/>
          <w:bCs/>
          <w:u w:val="single"/>
          <w:rtl/>
        </w:rPr>
        <w:t xml:space="preserve"> </w:t>
      </w:r>
      <w:r w:rsidRPr="00B74989">
        <w:rPr>
          <w:rFonts w:ascii="Arial" w:hAnsi="Arial" w:hint="eastAsia"/>
          <w:b/>
          <w:bCs/>
          <w:u w:val="single"/>
          <w:rtl/>
        </w:rPr>
        <w:t>הצדדים</w:t>
      </w:r>
      <w:r w:rsidRPr="00B74989">
        <w:rPr>
          <w:rFonts w:ascii="Arial" w:hAnsi="Arial"/>
          <w:b/>
          <w:bCs/>
          <w:u w:val="single"/>
          <w:rtl/>
        </w:rPr>
        <w:t xml:space="preserve"> </w:t>
      </w:r>
      <w:r w:rsidRPr="00B74989">
        <w:rPr>
          <w:rFonts w:ascii="Arial" w:hAnsi="Arial" w:hint="eastAsia"/>
          <w:b/>
          <w:bCs/>
          <w:u w:val="single"/>
          <w:rtl/>
        </w:rPr>
        <w:t>בדיון</w:t>
      </w:r>
      <w:r w:rsidRPr="00B74989">
        <w:rPr>
          <w:rFonts w:ascii="Arial" w:hAnsi="Arial"/>
          <w:b/>
          <w:bCs/>
          <w:u w:val="single"/>
          <w:rtl/>
        </w:rPr>
        <w:t xml:space="preserve"> </w:t>
      </w:r>
      <w:r w:rsidRPr="00B74989">
        <w:rPr>
          <w:rFonts w:ascii="Arial" w:hAnsi="Arial" w:hint="eastAsia"/>
          <w:b/>
          <w:bCs/>
          <w:u w:val="single"/>
          <w:rtl/>
        </w:rPr>
        <w:t>שהתקיים</w:t>
      </w:r>
      <w:r w:rsidRPr="00B74989">
        <w:rPr>
          <w:rFonts w:ascii="Arial" w:hAnsi="Arial"/>
          <w:b/>
          <w:bCs/>
          <w:u w:val="single"/>
          <w:rtl/>
        </w:rPr>
        <w:t xml:space="preserve"> בפנינו </w:t>
      </w:r>
      <w:r w:rsidRPr="00B74989">
        <w:rPr>
          <w:rFonts w:ascii="Arial" w:hAnsi="Arial" w:hint="eastAsia"/>
          <w:b/>
          <w:bCs/>
          <w:u w:val="single"/>
          <w:rtl/>
        </w:rPr>
        <w:t>בעל</w:t>
      </w:r>
      <w:r w:rsidRPr="00B74989">
        <w:rPr>
          <w:rFonts w:ascii="Arial" w:hAnsi="Arial"/>
          <w:b/>
          <w:bCs/>
          <w:u w:val="single"/>
          <w:rtl/>
        </w:rPr>
        <w:t xml:space="preserve"> פה ביום 24.02.2025, מצאנו </w:t>
      </w:r>
      <w:r w:rsidRPr="00B74989">
        <w:rPr>
          <w:rFonts w:ascii="Arial" w:hAnsi="Arial" w:hint="eastAsia"/>
          <w:b/>
          <w:bCs/>
          <w:u w:val="single"/>
          <w:rtl/>
        </w:rPr>
        <w:t>שיש</w:t>
      </w:r>
      <w:r w:rsidRPr="00B74989">
        <w:rPr>
          <w:rFonts w:ascii="Arial" w:hAnsi="Arial"/>
          <w:b/>
          <w:bCs/>
          <w:u w:val="single"/>
          <w:rtl/>
        </w:rPr>
        <w:t xml:space="preserve"> לדחות הערעור מכ</w:t>
      </w:r>
      <w:r w:rsidRPr="00B74989">
        <w:rPr>
          <w:rFonts w:ascii="Arial" w:hAnsi="Arial" w:hint="eastAsia"/>
          <w:b/>
          <w:bCs/>
          <w:u w:val="single"/>
          <w:rtl/>
        </w:rPr>
        <w:t>ו</w:t>
      </w:r>
      <w:r w:rsidRPr="00B74989">
        <w:rPr>
          <w:rFonts w:ascii="Arial" w:hAnsi="Arial"/>
          <w:b/>
          <w:bCs/>
          <w:u w:val="single"/>
          <w:rtl/>
        </w:rPr>
        <w:t>ח סמכותנו לפי סעיף 148(</w:t>
      </w:r>
      <w:r w:rsidRPr="00B74989">
        <w:rPr>
          <w:rFonts w:ascii="Arial" w:hAnsi="Arial" w:hint="eastAsia"/>
          <w:b/>
          <w:bCs/>
          <w:u w:val="single"/>
          <w:rtl/>
        </w:rPr>
        <w:t>ב</w:t>
      </w:r>
      <w:r w:rsidRPr="00B74989">
        <w:rPr>
          <w:rFonts w:ascii="Arial" w:hAnsi="Arial"/>
          <w:b/>
          <w:bCs/>
          <w:u w:val="single"/>
          <w:rtl/>
        </w:rPr>
        <w:t xml:space="preserve">) לתקנות סדר הדין האזרחי, התשע"ט-2018 (להלן: "התקנות"), זאת </w:t>
      </w:r>
      <w:r w:rsidRPr="00B74989">
        <w:rPr>
          <w:rFonts w:ascii="Arial" w:hAnsi="Arial" w:hint="eastAsia"/>
          <w:b/>
          <w:bCs/>
          <w:u w:val="single"/>
          <w:rtl/>
        </w:rPr>
        <w:t>מהטעמים</w:t>
      </w:r>
      <w:r w:rsidRPr="00B74989">
        <w:rPr>
          <w:rFonts w:ascii="Arial" w:hAnsi="Arial"/>
          <w:b/>
          <w:bCs/>
          <w:u w:val="single"/>
          <w:rtl/>
        </w:rPr>
        <w:t xml:space="preserve"> </w:t>
      </w:r>
      <w:r w:rsidRPr="00B74989">
        <w:rPr>
          <w:rFonts w:ascii="Arial" w:hAnsi="Arial" w:hint="eastAsia"/>
          <w:b/>
          <w:bCs/>
          <w:u w:val="single"/>
          <w:rtl/>
        </w:rPr>
        <w:t>הבאים</w:t>
      </w:r>
      <w:r w:rsidRPr="00B74989">
        <w:rPr>
          <w:rFonts w:ascii="Arial" w:hAnsi="Arial" w:hint="cs"/>
          <w:rtl/>
        </w:rPr>
        <w:t>:</w:t>
      </w:r>
    </w:p>
    <w:p w14:paraId="2F14227B"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t xml:space="preserve">ממצאיו העובדתיים של בית משפט קמא מקובלים עלינו, כך גם באשר לקביעות בית משפט קמא ביחס להתרשמותו מהעדים. </w:t>
      </w:r>
      <w:r w:rsidRPr="00B74989">
        <w:rPr>
          <w:rFonts w:ascii="Arial" w:hAnsi="Arial"/>
          <w:rtl/>
        </w:rPr>
        <w:t>לא מצאנו להתערב בממצאי</w:t>
      </w:r>
      <w:r w:rsidRPr="00B74989">
        <w:rPr>
          <w:rFonts w:ascii="Arial" w:hAnsi="Arial" w:hint="cs"/>
          <w:rtl/>
        </w:rPr>
        <w:t>ם</w:t>
      </w:r>
      <w:r w:rsidRPr="00B74989">
        <w:rPr>
          <w:rFonts w:ascii="Arial" w:hAnsi="Arial"/>
          <w:rtl/>
        </w:rPr>
        <w:t xml:space="preserve"> העובדתיים ש</w:t>
      </w:r>
      <w:r w:rsidRPr="00B74989">
        <w:rPr>
          <w:rFonts w:ascii="Arial" w:hAnsi="Arial" w:hint="cs"/>
          <w:rtl/>
        </w:rPr>
        <w:t>נקבעו על ידי</w:t>
      </w:r>
      <w:r w:rsidRPr="00B74989">
        <w:rPr>
          <w:rFonts w:ascii="Arial" w:hAnsi="Arial"/>
          <w:rtl/>
        </w:rPr>
        <w:t xml:space="preserve"> בית משפט קמא</w:t>
      </w:r>
      <w:r w:rsidRPr="00B74989">
        <w:rPr>
          <w:rFonts w:ascii="Arial" w:hAnsi="Arial" w:hint="cs"/>
          <w:rtl/>
        </w:rPr>
        <w:t>,</w:t>
      </w:r>
      <w:r w:rsidRPr="00B74989">
        <w:rPr>
          <w:rFonts w:ascii="Arial" w:hAnsi="Arial"/>
          <w:rtl/>
        </w:rPr>
        <w:t xml:space="preserve"> בפסק</w:t>
      </w:r>
      <w:r w:rsidRPr="00B74989">
        <w:rPr>
          <w:rFonts w:ascii="Arial" w:hAnsi="Arial" w:hint="cs"/>
          <w:rtl/>
        </w:rPr>
        <w:t xml:space="preserve"> </w:t>
      </w:r>
      <w:r w:rsidRPr="00B74989">
        <w:rPr>
          <w:rFonts w:ascii="Arial" w:hAnsi="Arial"/>
          <w:rtl/>
        </w:rPr>
        <w:t>די</w:t>
      </w:r>
      <w:r w:rsidRPr="00B74989">
        <w:rPr>
          <w:rFonts w:ascii="Arial" w:hAnsi="Arial" w:hint="cs"/>
          <w:rtl/>
        </w:rPr>
        <w:t>נו קמא. הלכה היא שאין ערכאת הערעור ממהרת להתערב בקביעות עובדתיות ובקביעות מהימנות, ש</w:t>
      </w:r>
      <w:r w:rsidRPr="00B74989">
        <w:rPr>
          <w:rFonts w:ascii="Arial" w:hAnsi="Arial"/>
          <w:rtl/>
        </w:rPr>
        <w:t>מסורה לשופט</w:t>
      </w:r>
      <w:r w:rsidRPr="00B74989">
        <w:rPr>
          <w:rFonts w:ascii="Arial" w:hAnsi="Arial" w:hint="cs"/>
          <w:rtl/>
        </w:rPr>
        <w:t>ת</w:t>
      </w:r>
      <w:r w:rsidRPr="00B74989">
        <w:rPr>
          <w:rFonts w:ascii="Arial" w:hAnsi="Arial"/>
          <w:rtl/>
        </w:rPr>
        <w:t xml:space="preserve"> ששמע</w:t>
      </w:r>
      <w:r w:rsidRPr="00B74989">
        <w:rPr>
          <w:rFonts w:ascii="Arial" w:hAnsi="Arial" w:hint="cs"/>
          <w:rtl/>
        </w:rPr>
        <w:t>ה</w:t>
      </w:r>
      <w:r w:rsidRPr="00B74989">
        <w:rPr>
          <w:rFonts w:ascii="Arial" w:hAnsi="Arial"/>
          <w:rtl/>
        </w:rPr>
        <w:t xml:space="preserve"> ורא</w:t>
      </w:r>
      <w:r w:rsidRPr="00B74989">
        <w:rPr>
          <w:rFonts w:ascii="Arial" w:hAnsi="Arial" w:hint="cs"/>
          <w:rtl/>
        </w:rPr>
        <w:t>ת</w:t>
      </w:r>
      <w:r w:rsidRPr="00B74989">
        <w:rPr>
          <w:rFonts w:ascii="Arial" w:hAnsi="Arial"/>
          <w:rtl/>
        </w:rPr>
        <w:t>ה את העדים על דוכן העדים והתרש</w:t>
      </w:r>
      <w:r w:rsidRPr="00B74989">
        <w:rPr>
          <w:rFonts w:ascii="Arial" w:hAnsi="Arial" w:hint="cs"/>
          <w:rtl/>
        </w:rPr>
        <w:t>מה</w:t>
      </w:r>
      <w:r w:rsidRPr="00B74989">
        <w:rPr>
          <w:rFonts w:ascii="Arial" w:hAnsi="Arial"/>
          <w:rtl/>
        </w:rPr>
        <w:t xml:space="preserve"> באופן בלתי אמצעי מעדותם</w:t>
      </w:r>
      <w:r w:rsidRPr="00B74989">
        <w:rPr>
          <w:rFonts w:ascii="Arial" w:hAnsi="Arial" w:hint="cs"/>
          <w:rtl/>
        </w:rPr>
        <w:t xml:space="preserve"> (עיינו </w:t>
      </w:r>
      <w:r w:rsidRPr="00B74989">
        <w:rPr>
          <w:rFonts w:ascii="Arial" w:hAnsi="Arial"/>
          <w:rtl/>
        </w:rPr>
        <w:t>רע"א 9123/05 </w:t>
      </w:r>
      <w:proofErr w:type="spellStart"/>
      <w:r w:rsidRPr="00B74989">
        <w:rPr>
          <w:rFonts w:ascii="Arial" w:hAnsi="Arial"/>
          <w:b/>
          <w:bCs/>
          <w:rtl/>
        </w:rPr>
        <w:t>אדמוב</w:t>
      </w:r>
      <w:proofErr w:type="spellEnd"/>
      <w:r w:rsidRPr="00B74989">
        <w:rPr>
          <w:rFonts w:ascii="Arial" w:hAnsi="Arial"/>
          <w:b/>
          <w:bCs/>
          <w:rtl/>
        </w:rPr>
        <w:t xml:space="preserve"> </w:t>
      </w:r>
      <w:proofErr w:type="spellStart"/>
      <w:r w:rsidRPr="00B74989">
        <w:rPr>
          <w:rFonts w:ascii="Arial" w:hAnsi="Arial"/>
          <w:b/>
          <w:bCs/>
          <w:rtl/>
        </w:rPr>
        <w:t>פרוייקטים</w:t>
      </w:r>
      <w:proofErr w:type="spellEnd"/>
      <w:r w:rsidRPr="00B74989">
        <w:rPr>
          <w:rFonts w:ascii="Arial" w:hAnsi="Arial"/>
          <w:b/>
          <w:bCs/>
          <w:rtl/>
        </w:rPr>
        <w:t xml:space="preserve"> (89) בע"מ נ' סיטי סטייט מקבוצת אלפו בע"מ</w:t>
      </w:r>
      <w:r w:rsidRPr="00B74989">
        <w:rPr>
          <w:rFonts w:ascii="Arial" w:hAnsi="Arial"/>
          <w:rtl/>
        </w:rPr>
        <w:t> (נבו 25.10.2007)‏‏</w:t>
      </w:r>
      <w:r w:rsidRPr="00B74989">
        <w:rPr>
          <w:rFonts w:ascii="Arial" w:hAnsi="Arial" w:hint="cs"/>
          <w:rtl/>
        </w:rPr>
        <w:t>). ראו לעניין זה הסכמת ב"כ המערער בפרוטוקול הדיון מיום 24.02.2025, עמוד 1 שורות 17–18.</w:t>
      </w:r>
    </w:p>
    <w:p w14:paraId="327B83CE" w14:textId="77777777" w:rsidR="00B74989" w:rsidRPr="00B74989" w:rsidRDefault="00B74989" w:rsidP="00B74989">
      <w:pPr>
        <w:numPr>
          <w:ilvl w:val="0"/>
          <w:numId w:val="1"/>
        </w:numPr>
        <w:spacing w:after="120" w:line="360" w:lineRule="auto"/>
        <w:ind w:hanging="720"/>
        <w:jc w:val="both"/>
        <w:rPr>
          <w:rFonts w:ascii="Arial" w:hAnsi="Arial"/>
          <w:b/>
          <w:bCs/>
        </w:rPr>
      </w:pPr>
      <w:r w:rsidRPr="00B74989">
        <w:rPr>
          <w:rFonts w:ascii="Arial" w:hAnsi="Arial" w:hint="cs"/>
          <w:rtl/>
        </w:rPr>
        <w:t xml:space="preserve">האם נפלה שגיאה במסקנה המשפטית אליה הגיע בית משפט קמא? נשיב על כך בשלילה. מבלי לשוב ולפרט את אשר כבר נכתב בפסק הדין קמא, ההסכם נחתם כאשר הצדדים היו בגדר ידועים בציבור ונישאו בפועל בחלוף מעלה משנתיים מיום החתימה. עובר לחתימה על ההסכם לא היו הצדדים על מפתן הנישואין, </w:t>
      </w:r>
      <w:r w:rsidRPr="00B74989">
        <w:rPr>
          <w:rFonts w:ascii="Arial" w:hAnsi="Arial" w:hint="cs"/>
          <w:rtl/>
        </w:rPr>
        <w:lastRenderedPageBreak/>
        <w:t>הנישואין לא עמדו בפתח, על כן הנוטריון לא היה מוסמך לאמת את ההסכם. בעניין זה קיימת פסיקה עקבית אליה הפנה בית משפט קמא. הוראות סעיף 2 לחוק יחסי ממון הן ברורות ומתנות את תוקפו של ההסכם המסדיר את יחסי הממון בין בני זוג נשואים, באישור או באימות ההסכם באחת הדרכים המנויות בסעיף. נקבע מפורשות כי בהיעדר אישור או אימות תקפים, ההסכם עצמו משולל תוקף. גם אם נגמיש את התנאי של צפיית הנישואין עדיין הצפי לנישואין צריך להיות ברור, ודאי וקרוב למועד עריכת ההסכם. לא ניתן למתוח את צמד המילים "לפני הנישואין" המופיעות בסעיף 2(ג1) לחוק יחסי ממון לתקופה של למעלה משנתיים כבענייננו. זאת ועוד. כותרת ההסכם כ"הסכם" בלבד, היעדר כל התייחסות לכך שהצדדים עתידים להינשא בקרוב, היעדרן של המילים "נישואין"</w:t>
      </w:r>
      <w:r w:rsidR="00162FD5">
        <w:rPr>
          <w:rFonts w:ascii="Arial" w:hAnsi="Arial" w:hint="cs"/>
          <w:rtl/>
        </w:rPr>
        <w:t xml:space="preserve"> </w:t>
      </w:r>
      <w:r w:rsidRPr="00B74989">
        <w:rPr>
          <w:rFonts w:ascii="Arial" w:hAnsi="Arial" w:hint="cs"/>
          <w:rtl/>
        </w:rPr>
        <w:t>ו-"גירושין", ה"הואיל" הראשון להסכם, "</w:t>
      </w:r>
      <w:r w:rsidRPr="00B74989">
        <w:rPr>
          <w:rFonts w:ascii="Arial" w:hAnsi="Arial" w:hint="cs"/>
          <w:b/>
          <w:bCs/>
          <w:rtl/>
        </w:rPr>
        <w:t>האיש והאישה מעוניינים להתגורר יחד ולקיים ביניהם מערכת יחסים זוגית</w:t>
      </w:r>
      <w:r w:rsidRPr="00B74989">
        <w:rPr>
          <w:rFonts w:ascii="Arial" w:hAnsi="Arial" w:hint="cs"/>
          <w:rtl/>
        </w:rPr>
        <w:t xml:space="preserve"> [...]" </w:t>
      </w:r>
      <w:r w:rsidRPr="00B74989">
        <w:rPr>
          <w:rFonts w:ascii="Arial" w:hAnsi="Arial" w:hint="eastAsia"/>
          <w:b/>
          <w:bCs/>
          <w:rtl/>
        </w:rPr>
        <w:t>כל</w:t>
      </w:r>
      <w:r w:rsidRPr="00B74989">
        <w:rPr>
          <w:rFonts w:ascii="Arial" w:hAnsi="Arial"/>
          <w:b/>
          <w:bCs/>
          <w:rtl/>
        </w:rPr>
        <w:t xml:space="preserve"> </w:t>
      </w:r>
      <w:r w:rsidRPr="00B74989">
        <w:rPr>
          <w:rFonts w:ascii="Arial" w:hAnsi="Arial" w:hint="eastAsia"/>
          <w:b/>
          <w:bCs/>
          <w:rtl/>
        </w:rPr>
        <w:t>אלה</w:t>
      </w:r>
      <w:r w:rsidRPr="00B74989">
        <w:rPr>
          <w:rFonts w:ascii="Arial" w:hAnsi="Arial"/>
          <w:b/>
          <w:bCs/>
          <w:rtl/>
        </w:rPr>
        <w:t xml:space="preserve"> </w:t>
      </w:r>
      <w:r w:rsidRPr="00B74989">
        <w:rPr>
          <w:rFonts w:ascii="Arial" w:hAnsi="Arial" w:hint="eastAsia"/>
          <w:b/>
          <w:bCs/>
          <w:rtl/>
        </w:rPr>
        <w:t>ועוד</w:t>
      </w:r>
      <w:r w:rsidRPr="00B74989">
        <w:rPr>
          <w:rFonts w:ascii="Arial" w:hAnsi="Arial"/>
          <w:b/>
          <w:bCs/>
          <w:rtl/>
        </w:rPr>
        <w:t xml:space="preserve"> </w:t>
      </w:r>
      <w:r w:rsidRPr="00B74989">
        <w:rPr>
          <w:rFonts w:ascii="Arial" w:hAnsi="Arial" w:hint="eastAsia"/>
          <w:b/>
          <w:bCs/>
          <w:rtl/>
        </w:rPr>
        <w:t>מטים</w:t>
      </w:r>
      <w:r w:rsidRPr="00B74989">
        <w:rPr>
          <w:rFonts w:ascii="Arial" w:hAnsi="Arial"/>
          <w:b/>
          <w:bCs/>
          <w:rtl/>
        </w:rPr>
        <w:t xml:space="preserve"> את הכף, כפי שקבע </w:t>
      </w:r>
      <w:r w:rsidRPr="00B74989">
        <w:rPr>
          <w:rFonts w:ascii="Arial" w:hAnsi="Arial" w:hint="eastAsia"/>
          <w:b/>
          <w:bCs/>
          <w:rtl/>
        </w:rPr>
        <w:t>בית</w:t>
      </w:r>
      <w:r w:rsidRPr="00B74989">
        <w:rPr>
          <w:rFonts w:ascii="Arial" w:hAnsi="Arial"/>
          <w:b/>
          <w:bCs/>
          <w:rtl/>
        </w:rPr>
        <w:t xml:space="preserve"> </w:t>
      </w:r>
      <w:r w:rsidRPr="00B74989">
        <w:rPr>
          <w:rFonts w:ascii="Arial" w:hAnsi="Arial" w:hint="eastAsia"/>
          <w:b/>
          <w:bCs/>
          <w:rtl/>
        </w:rPr>
        <w:t>משפט</w:t>
      </w:r>
      <w:r w:rsidRPr="00B74989">
        <w:rPr>
          <w:rFonts w:ascii="Arial" w:hAnsi="Arial"/>
          <w:b/>
          <w:bCs/>
          <w:rtl/>
        </w:rPr>
        <w:t xml:space="preserve"> </w:t>
      </w:r>
      <w:r w:rsidRPr="00B74989">
        <w:rPr>
          <w:rFonts w:ascii="Arial" w:hAnsi="Arial" w:hint="eastAsia"/>
          <w:b/>
          <w:bCs/>
          <w:rtl/>
        </w:rPr>
        <w:t>קמא</w:t>
      </w:r>
      <w:r w:rsidRPr="00B74989">
        <w:rPr>
          <w:rFonts w:ascii="Arial" w:hAnsi="Arial"/>
          <w:b/>
          <w:bCs/>
          <w:rtl/>
        </w:rPr>
        <w:t xml:space="preserve">, כי עסקינן בהסכם </w:t>
      </w:r>
      <w:r w:rsidRPr="00B74989">
        <w:rPr>
          <w:rFonts w:ascii="Arial" w:hAnsi="Arial" w:hint="eastAsia"/>
          <w:b/>
          <w:bCs/>
          <w:rtl/>
        </w:rPr>
        <w:t>שאינו</w:t>
      </w:r>
      <w:r w:rsidRPr="00B74989">
        <w:rPr>
          <w:rFonts w:ascii="Arial" w:hAnsi="Arial"/>
          <w:b/>
          <w:bCs/>
          <w:rtl/>
        </w:rPr>
        <w:t xml:space="preserve"> הסכם ממון ואין לו תוקף לאחר נישואי הצדדים. </w:t>
      </w:r>
    </w:p>
    <w:p w14:paraId="477C3560"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t xml:space="preserve">בית משפט קמא לא הסתפק בקביעתו זו ואף הוסיף ובחן האם מתקיימים החריגים להפעלת ההסכם ומצא כי אין המקרה הנדון בא בקהלם של החריגים האמורים ואנו שותפים לקביעתו זו. תכלית ההסכם הייתה הסדרת ענייניהם </w:t>
      </w:r>
      <w:proofErr w:type="spellStart"/>
      <w:r w:rsidRPr="00B74989">
        <w:rPr>
          <w:rFonts w:ascii="Arial" w:hAnsi="Arial" w:hint="cs"/>
          <w:rtl/>
        </w:rPr>
        <w:t>הרכושיים</w:t>
      </w:r>
      <w:proofErr w:type="spellEnd"/>
      <w:r w:rsidRPr="00B74989">
        <w:rPr>
          <w:rFonts w:ascii="Arial" w:hAnsi="Arial" w:hint="cs"/>
          <w:rtl/>
        </w:rPr>
        <w:t xml:space="preserve"> של הצדדים, הנובעים ממערכת היחסים ביניהם, כל עוד הינם ידועים בציבור. להשקפתנו, אין לגזור גזירה שווה ממגורים של שני אנשים יחדיו וקיום מערכת יחסים זוגית ביניהם, למשטר </w:t>
      </w:r>
      <w:proofErr w:type="spellStart"/>
      <w:r w:rsidRPr="00B74989">
        <w:rPr>
          <w:rFonts w:ascii="Arial" w:hAnsi="Arial" w:hint="cs"/>
          <w:rtl/>
        </w:rPr>
        <w:t>הרכושי</w:t>
      </w:r>
      <w:proofErr w:type="spellEnd"/>
      <w:r w:rsidRPr="00B74989">
        <w:rPr>
          <w:rFonts w:ascii="Arial" w:hAnsi="Arial" w:hint="cs"/>
          <w:rtl/>
        </w:rPr>
        <w:t xml:space="preserve"> החל על אלה המוצאים לנכון למסד את קשרם הזוגי על דרך נישואין. הסכמה של בני זוג ידועים בציבור למשטר רכושי מסוים אינה מקימה חזקה שמסכימים הם להחלת אותו משטר לאחר שישתנה מצבם לבני זוג נשואים. </w:t>
      </w:r>
    </w:p>
    <w:p w14:paraId="03187EEB" w14:textId="77777777" w:rsidR="00B74989" w:rsidRPr="00B74989" w:rsidRDefault="00B74989" w:rsidP="00B74989">
      <w:pPr>
        <w:numPr>
          <w:ilvl w:val="0"/>
          <w:numId w:val="1"/>
        </w:numPr>
        <w:spacing w:after="120" w:line="360" w:lineRule="auto"/>
        <w:ind w:hanging="720"/>
        <w:jc w:val="both"/>
        <w:rPr>
          <w:rFonts w:ascii="Arial" w:hAnsi="Arial"/>
          <w:rtl/>
        </w:rPr>
      </w:pPr>
      <w:r w:rsidRPr="00B74989">
        <w:rPr>
          <w:rFonts w:ascii="Arial" w:hAnsi="Arial" w:hint="cs"/>
          <w:rtl/>
        </w:rPr>
        <w:t xml:space="preserve">טענת המערער כי הנוטריון אישר את ההסכם לפי סעיף 2(ג1) לחוק יחסי ממון והאישור נושא כותרת "אימות הסכם ממון שנכרת לפני הנישואין", אין בה כדי לגרוע ממסקנתנו. הנוטריון היה מנוע לאשר או לאמת את ההסכם על פי חוק יחסי ממון כל עוד הצדדים לא היו "לפני נישואין" או "בני זוג העומדים ערב נישואיהם", כדרישת המחוקק. מניעות זו מקפלת בתוכה מדיניות שיפוטית ראויה להימנע מחוזים המסדירים בהינף אחד ובלא הפרדה ברורה את הזכויות והחובות של אותם צדדים הן כידועים בציבור והן כנשואים. ידועים בציבור הינו מצב עובדתי. היום כן מחר לא. כל אחד מבני הזוג יכול להביא לסיומם בנקל, לא כך הם פני הדברים בבני זוג נשואים המחויבים לגושפנקא של הדין לסיום יחסיהם ועל כך כאמור קיימת פסיקה עוקבת ורבה שלחלק ממנה הפנה בית משפט קמא. </w:t>
      </w:r>
    </w:p>
    <w:p w14:paraId="5DC9A515" w14:textId="77777777" w:rsidR="00B74989" w:rsidRPr="00B74989" w:rsidRDefault="00B74989" w:rsidP="00B74989">
      <w:pPr>
        <w:numPr>
          <w:ilvl w:val="0"/>
          <w:numId w:val="1"/>
        </w:numPr>
        <w:spacing w:after="120" w:line="360" w:lineRule="auto"/>
        <w:ind w:hanging="720"/>
        <w:jc w:val="both"/>
        <w:rPr>
          <w:rFonts w:ascii="Arial" w:hAnsi="Arial"/>
          <w:rtl/>
        </w:rPr>
      </w:pPr>
      <w:r w:rsidRPr="00B74989">
        <w:rPr>
          <w:rFonts w:ascii="Arial" w:hAnsi="Arial" w:hint="cs"/>
          <w:rtl/>
        </w:rPr>
        <w:t xml:space="preserve">טענת המערער כי שגה בית משפט קמא עת יישם הלכה משפטית חדשה, היא </w:t>
      </w:r>
      <w:proofErr w:type="spellStart"/>
      <w:r w:rsidRPr="00B74989">
        <w:rPr>
          <w:rFonts w:ascii="Arial" w:hAnsi="Arial" w:hint="cs"/>
          <w:rtl/>
        </w:rPr>
        <w:t>עמ"ש</w:t>
      </w:r>
      <w:proofErr w:type="spellEnd"/>
      <w:r w:rsidRPr="00B74989">
        <w:rPr>
          <w:rFonts w:ascii="Arial" w:hAnsi="Arial" w:hint="cs"/>
          <w:rtl/>
        </w:rPr>
        <w:t xml:space="preserve"> 26693-04-13, באופן רטרוספקטיבי, לא מצאנו בה ממש. </w:t>
      </w:r>
      <w:r w:rsidRPr="00B74989">
        <w:rPr>
          <w:rFonts w:ascii="Arial" w:hAnsi="Arial"/>
          <w:rtl/>
        </w:rPr>
        <w:t xml:space="preserve">סעיף 2(ג1) </w:t>
      </w:r>
      <w:r w:rsidRPr="00B74989">
        <w:rPr>
          <w:rFonts w:ascii="Arial" w:hAnsi="Arial" w:hint="cs"/>
          <w:rtl/>
        </w:rPr>
        <w:t>לחוק הקובע כי</w:t>
      </w:r>
      <w:r w:rsidRPr="00B74989">
        <w:rPr>
          <w:rFonts w:ascii="Arial" w:hAnsi="Arial" w:hint="cs"/>
          <w:b/>
          <w:bCs/>
          <w:rtl/>
        </w:rPr>
        <w:t xml:space="preserve"> </w:t>
      </w:r>
      <w:r w:rsidRPr="00B74989">
        <w:rPr>
          <w:rFonts w:ascii="Arial" w:hAnsi="Arial"/>
          <w:b/>
          <w:bCs/>
          <w:rtl/>
        </w:rPr>
        <w:t>"הסכם ממון שנכרת לפני הנישואין יכול שיאומת בידי נוטריון לפי חוק הנוטריונים, התשל"ו-1976, ובלבד שהנוטריון נוכח שבני הזוג הניצבים בפניו עשו את ההסכם בהסכמה חופשית ובהבינם את משמעותו ותוצאותיו"</w:t>
      </w:r>
      <w:r w:rsidRPr="00B74989">
        <w:rPr>
          <w:rFonts w:ascii="Arial" w:hAnsi="Arial" w:hint="cs"/>
          <w:rtl/>
        </w:rPr>
        <w:t>,</w:t>
      </w:r>
      <w:r w:rsidRPr="00B74989">
        <w:rPr>
          <w:rFonts w:ascii="Arial" w:hAnsi="Arial" w:hint="cs"/>
          <w:b/>
          <w:bCs/>
          <w:rtl/>
        </w:rPr>
        <w:t xml:space="preserve"> </w:t>
      </w:r>
      <w:r w:rsidRPr="00B74989">
        <w:rPr>
          <w:rFonts w:ascii="Arial" w:hAnsi="Arial" w:hint="cs"/>
          <w:rtl/>
        </w:rPr>
        <w:t>הינו</w:t>
      </w:r>
      <w:r w:rsidRPr="00B74989">
        <w:rPr>
          <w:rFonts w:ascii="Arial" w:hAnsi="Arial" w:hint="cs"/>
          <w:b/>
          <w:bCs/>
          <w:rtl/>
        </w:rPr>
        <w:t xml:space="preserve"> </w:t>
      </w:r>
      <w:r w:rsidRPr="00B74989">
        <w:rPr>
          <w:rFonts w:ascii="Arial" w:hAnsi="Arial" w:hint="cs"/>
          <w:rtl/>
        </w:rPr>
        <w:t xml:space="preserve">סעיף חוק אשר תוקן ביום 24.02.1995, קרי כעשר שנים טרם חתמו הצדדים על ההסכם. הניתוח שהובא </w:t>
      </w:r>
      <w:proofErr w:type="spellStart"/>
      <w:r w:rsidRPr="00B74989">
        <w:rPr>
          <w:rFonts w:ascii="Arial" w:hAnsi="Arial" w:hint="cs"/>
          <w:rtl/>
        </w:rPr>
        <w:t>בעמ"ש</w:t>
      </w:r>
      <w:proofErr w:type="spellEnd"/>
      <w:r w:rsidRPr="00B74989">
        <w:rPr>
          <w:rFonts w:ascii="Arial" w:hAnsi="Arial" w:hint="cs"/>
          <w:rtl/>
        </w:rPr>
        <w:t xml:space="preserve"> 26693-04-13 המפרט את ההיסטוריה שקדמה לתיקון וכן ההסבר להצעת החוק, לא היוותה אז, ולבטח לא כיום ביחס לצדדים שלפנינו, בגדר "הלכה חדשה", אלא בגדר פרשנות המצב החקיקתי שהתקיים כבר אז ביחס לתיקון חוק שהיה תקף כמעט שני עשורים. מסקנת בית המשפט </w:t>
      </w:r>
      <w:proofErr w:type="spellStart"/>
      <w:r w:rsidRPr="00B74989">
        <w:rPr>
          <w:rFonts w:ascii="Arial" w:hAnsi="Arial" w:hint="cs"/>
          <w:rtl/>
        </w:rPr>
        <w:t>בעמ"ש</w:t>
      </w:r>
      <w:proofErr w:type="spellEnd"/>
      <w:r w:rsidRPr="00B74989">
        <w:rPr>
          <w:rFonts w:ascii="Arial" w:hAnsi="Arial" w:hint="cs"/>
          <w:rtl/>
        </w:rPr>
        <w:t xml:space="preserve"> 26693-04-13, כי: </w:t>
      </w:r>
      <w:r w:rsidRPr="00B74989">
        <w:rPr>
          <w:rFonts w:ascii="Arial" w:hAnsi="Arial" w:hint="cs"/>
          <w:b/>
          <w:bCs/>
          <w:rtl/>
        </w:rPr>
        <w:t>"</w:t>
      </w:r>
      <w:r w:rsidRPr="00B74989">
        <w:rPr>
          <w:rFonts w:ascii="Arial" w:hAnsi="Arial"/>
          <w:b/>
          <w:bCs/>
          <w:rtl/>
        </w:rPr>
        <w:t xml:space="preserve">תנאי לסמכות </w:t>
      </w:r>
      <w:r w:rsidRPr="00B74989">
        <w:rPr>
          <w:rFonts w:ascii="Arial" w:hAnsi="Arial"/>
          <w:b/>
          <w:bCs/>
          <w:rtl/>
        </w:rPr>
        <w:lastRenderedPageBreak/>
        <w:t>האימות, הן של רושם הנישואין והן של הנוטריון, הנו שבני הזוג כבר קיבלו את ההחלטה להינשא כך שהליך האימות מתבצע ערב הנישואין. כאשר מדובר ברושם הנישואין, לא תיתכן מציאות אחרת, שהרי ההתייצבות בפני רושם הנישואין נעשית רק לקראת הנישואין ולאחר שהוחלט עליהם. הוא הדין להתייצבות בפני הנוטריון על מנת שיאמת את הסכם הממון. מאחר שפעולה זאת נועדה לשמש מקבילה לפנייה לרושם הנישואין, אין הפנייה לנוטריון באה בחשבון אלא לגבי בני זוג שתהליך מיסוד הקשר ביניהם הבשיל כדי יכולת לפנות לרישום הנישואין; ובמילים אחרות: שכבר הוחלט על ידם להינשא ומועד הנישואין מתקר</w:t>
      </w:r>
      <w:r w:rsidRPr="00B74989">
        <w:rPr>
          <w:rFonts w:ascii="Arial" w:hAnsi="Arial" w:hint="cs"/>
          <w:b/>
          <w:bCs/>
          <w:rtl/>
        </w:rPr>
        <w:t>ב"</w:t>
      </w:r>
      <w:r w:rsidRPr="00B74989">
        <w:rPr>
          <w:rFonts w:ascii="Arial" w:hAnsi="Arial" w:hint="cs"/>
          <w:rtl/>
        </w:rPr>
        <w:t>, אינה הלכה חדשה ששינתה הלכה ישנה ביחס לאימות הסכם ממון על ידי נוטריון, אלא פרשנות החוק והמצב הקיים ששרר בעת מתן פסק הדין דאז, המבוסס על תיקון משנת 1995. התיקון האמור, משנת 1995, חל על הצדדים שלפנינו גם כן.</w:t>
      </w:r>
    </w:p>
    <w:p w14:paraId="1BCEFAD0"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t>טענת המערער כי ההסכם אמור להיות תקף מכוח דיני החוזים הכלליים, דינה להידחות. היחס הנורמטיבי בין חוק החוזים (חלק כללי), התשל"ג-1973 לבין חוק יחסי ממון, הינו זהה. יחד עם זאת, "</w:t>
      </w:r>
      <w:r w:rsidRPr="00B74989">
        <w:rPr>
          <w:rFonts w:ascii="Arial" w:hAnsi="Arial"/>
          <w:b/>
          <w:bCs/>
          <w:rtl/>
        </w:rPr>
        <w:t>בניגוד בין שני הסדרים נורמאטיביים, המצויים על רמה נורמאטיבית שווה, יד ההסדר הספציפי על העליונה: "דין מיוחד דוחה דין כללי</w:t>
      </w:r>
      <w:r w:rsidRPr="00B74989">
        <w:rPr>
          <w:rFonts w:ascii="Arial" w:hAnsi="Arial" w:hint="cs"/>
          <w:rtl/>
        </w:rPr>
        <w:t xml:space="preserve">" (עיינו </w:t>
      </w:r>
      <w:r w:rsidRPr="00B74989">
        <w:rPr>
          <w:rFonts w:ascii="Arial" w:hAnsi="Arial"/>
          <w:rtl/>
        </w:rPr>
        <w:t>בג"ץ 6231/92 </w:t>
      </w:r>
      <w:r w:rsidRPr="00B74989">
        <w:rPr>
          <w:rFonts w:ascii="Arial" w:hAnsi="Arial"/>
          <w:b/>
          <w:bCs/>
          <w:rtl/>
        </w:rPr>
        <w:t xml:space="preserve">אלברט </w:t>
      </w:r>
      <w:proofErr w:type="spellStart"/>
      <w:r w:rsidRPr="00B74989">
        <w:rPr>
          <w:rFonts w:ascii="Arial" w:hAnsi="Arial"/>
          <w:b/>
          <w:bCs/>
          <w:rtl/>
        </w:rPr>
        <w:t>זגורי</w:t>
      </w:r>
      <w:proofErr w:type="spellEnd"/>
      <w:r w:rsidRPr="00B74989">
        <w:rPr>
          <w:rFonts w:ascii="Arial" w:hAnsi="Arial"/>
          <w:b/>
          <w:bCs/>
          <w:rtl/>
        </w:rPr>
        <w:t xml:space="preserve"> נ' בית הדין הארצי לעבודה בירושלי</w:t>
      </w:r>
      <w:r w:rsidRPr="00B74989">
        <w:rPr>
          <w:rFonts w:ascii="Arial" w:hAnsi="Arial" w:hint="cs"/>
          <w:b/>
          <w:bCs/>
          <w:rtl/>
        </w:rPr>
        <w:t>ם</w:t>
      </w:r>
      <w:r w:rsidRPr="00B74989">
        <w:rPr>
          <w:rFonts w:ascii="Arial" w:hAnsi="Arial" w:hint="cs"/>
          <w:rtl/>
        </w:rPr>
        <w:t xml:space="preserve">, </w:t>
      </w:r>
      <w:r w:rsidRPr="00B74989">
        <w:rPr>
          <w:rFonts w:ascii="Arial" w:hAnsi="Arial"/>
          <w:rtl/>
        </w:rPr>
        <w:t>מט(4) 749 (1995)‏‏</w:t>
      </w:r>
      <w:r w:rsidRPr="00B74989">
        <w:rPr>
          <w:rFonts w:ascii="Arial" w:hAnsi="Arial" w:hint="cs"/>
          <w:rtl/>
        </w:rPr>
        <w:t xml:space="preserve"> והאסמכתאות שם). אין חולק כי חוק יחסי ממון הינו דין מיוחד וספציפי ביחס לחוק החוזים הכללי, שכן זה חל אך ורק על בני זוג, בכתב, מחייב אישור בפני גורם חיצוני לאחר שנוכח כי ההסכם נעשה בהסכמה חופשית, הבנת משמעותיו, תוצאותיו וכיו"ב. אין לקבל את שיטת המערער, היינו מחיקת ההסדרים והדרישות המיוחדות שנקבעו בחוק יחסי ממון, על ידי החלפתם באלה הקבועים וחלים מכוח חוק החוזים הכללי. במעמד זה אציין את הידוע, כי </w:t>
      </w:r>
      <w:r w:rsidRPr="00B74989">
        <w:rPr>
          <w:rFonts w:ascii="Arial" w:hAnsi="Arial"/>
          <w:rtl/>
        </w:rPr>
        <w:t>עקרון תום הלב, "</w:t>
      </w:r>
      <w:r w:rsidRPr="00B74989">
        <w:rPr>
          <w:rFonts w:ascii="Arial" w:hAnsi="Arial"/>
          <w:b/>
          <w:bCs/>
          <w:rtl/>
        </w:rPr>
        <w:t>מצודתו פרושה על כלל המערכת המשפטית בישראל</w:t>
      </w:r>
      <w:r w:rsidRPr="00B74989">
        <w:rPr>
          <w:rFonts w:ascii="Arial" w:hAnsi="Arial"/>
          <w:rtl/>
        </w:rPr>
        <w:t>"</w:t>
      </w:r>
      <w:r w:rsidRPr="00B74989">
        <w:rPr>
          <w:rFonts w:ascii="Arial" w:hAnsi="Arial" w:hint="cs"/>
          <w:rtl/>
        </w:rPr>
        <w:t xml:space="preserve"> </w:t>
      </w:r>
      <w:r w:rsidRPr="00B74989">
        <w:rPr>
          <w:rFonts w:ascii="Arial" w:hAnsi="Arial"/>
          <w:rtl/>
        </w:rPr>
        <w:t>(עיינ</w:t>
      </w:r>
      <w:r w:rsidRPr="00B74989">
        <w:rPr>
          <w:rFonts w:ascii="Arial" w:hAnsi="Arial" w:hint="cs"/>
          <w:rtl/>
        </w:rPr>
        <w:t xml:space="preserve">ו </w:t>
      </w:r>
      <w:r w:rsidRPr="00B74989">
        <w:rPr>
          <w:rFonts w:ascii="Arial" w:hAnsi="Arial"/>
          <w:rtl/>
        </w:rPr>
        <w:t>ע"א 579/83 </w:t>
      </w:r>
      <w:r w:rsidRPr="00B74989">
        <w:rPr>
          <w:rFonts w:ascii="Arial" w:hAnsi="Arial"/>
          <w:b/>
          <w:bCs/>
          <w:rtl/>
        </w:rPr>
        <w:t xml:space="preserve">הרי </w:t>
      </w:r>
      <w:proofErr w:type="spellStart"/>
      <w:r w:rsidRPr="00B74989">
        <w:rPr>
          <w:rFonts w:ascii="Arial" w:hAnsi="Arial"/>
          <w:b/>
          <w:bCs/>
          <w:rtl/>
        </w:rPr>
        <w:t>זוננשטיין</w:t>
      </w:r>
      <w:proofErr w:type="spellEnd"/>
      <w:r w:rsidRPr="00B74989">
        <w:rPr>
          <w:rFonts w:ascii="Arial" w:hAnsi="Arial"/>
          <w:b/>
          <w:bCs/>
          <w:rtl/>
        </w:rPr>
        <w:t xml:space="preserve"> נ' אחים גבסו בע"מ, קבלני בנין, </w:t>
      </w:r>
      <w:proofErr w:type="spellStart"/>
      <w:r w:rsidRPr="00B74989">
        <w:rPr>
          <w:rFonts w:ascii="Arial" w:hAnsi="Arial"/>
          <w:rtl/>
        </w:rPr>
        <w:t>מב</w:t>
      </w:r>
      <w:proofErr w:type="spellEnd"/>
      <w:r w:rsidRPr="00B74989">
        <w:rPr>
          <w:rFonts w:ascii="Arial" w:hAnsi="Arial" w:hint="cs"/>
          <w:rtl/>
        </w:rPr>
        <w:t xml:space="preserve"> </w:t>
      </w:r>
      <w:r w:rsidRPr="00B74989">
        <w:rPr>
          <w:rFonts w:ascii="Arial" w:hAnsi="Arial"/>
          <w:rtl/>
        </w:rPr>
        <w:t>(2) 278 (1988)‏‏ והאסמכתאות המצוינות שם).</w:t>
      </w:r>
      <w:r w:rsidRPr="00B74989">
        <w:rPr>
          <w:rFonts w:ascii="Arial" w:hAnsi="Arial" w:hint="cs"/>
          <w:rtl/>
        </w:rPr>
        <w:t xml:space="preserve"> על אף האמור, לא מצאנו כי המערער הצליח להוכיח כי המשיבה נהגה באופן שניתן להגדירו כהתנהגות הפוגעת בעקרונות תום הלב, לחלופין עקרונות הצדק, המצופים מהצדדים ויחסיהם זו עם זה.</w:t>
      </w:r>
    </w:p>
    <w:p w14:paraId="6E78C26B" w14:textId="77777777" w:rsidR="00B74989" w:rsidRPr="00B74989" w:rsidRDefault="00B74989" w:rsidP="00B74989">
      <w:pPr>
        <w:numPr>
          <w:ilvl w:val="0"/>
          <w:numId w:val="1"/>
        </w:numPr>
        <w:spacing w:after="120" w:line="360" w:lineRule="auto"/>
        <w:ind w:hanging="720"/>
        <w:jc w:val="both"/>
        <w:rPr>
          <w:rFonts w:ascii="Arial" w:hAnsi="Arial"/>
        </w:rPr>
      </w:pPr>
      <w:r w:rsidRPr="00B74989">
        <w:rPr>
          <w:rFonts w:ascii="Arial" w:hAnsi="Arial" w:hint="cs"/>
          <w:rtl/>
        </w:rPr>
        <w:t xml:space="preserve">בחנו את שאר טענותיו של המערער ולא מצאנו כי נפלה שגגה </w:t>
      </w:r>
      <w:r w:rsidRPr="00B74989">
        <w:rPr>
          <w:rFonts w:ascii="Arial" w:hAnsi="Arial"/>
          <w:rtl/>
        </w:rPr>
        <w:t>במסקנ</w:t>
      </w:r>
      <w:r w:rsidRPr="00B74989">
        <w:rPr>
          <w:rFonts w:ascii="Arial" w:hAnsi="Arial" w:hint="cs"/>
          <w:rtl/>
        </w:rPr>
        <w:t>ות</w:t>
      </w:r>
      <w:r w:rsidRPr="00B74989">
        <w:rPr>
          <w:rFonts w:ascii="Arial" w:hAnsi="Arial"/>
          <w:rtl/>
        </w:rPr>
        <w:t xml:space="preserve"> המשפטי</w:t>
      </w:r>
      <w:r w:rsidRPr="00B74989">
        <w:rPr>
          <w:rFonts w:ascii="Arial" w:hAnsi="Arial" w:hint="cs"/>
          <w:rtl/>
        </w:rPr>
        <w:t>ו</w:t>
      </w:r>
      <w:r w:rsidRPr="00B74989">
        <w:rPr>
          <w:rFonts w:ascii="Arial" w:hAnsi="Arial"/>
          <w:rtl/>
        </w:rPr>
        <w:t xml:space="preserve">ת </w:t>
      </w:r>
      <w:r w:rsidRPr="00B74989">
        <w:rPr>
          <w:rFonts w:ascii="Arial" w:hAnsi="Arial" w:hint="cs"/>
          <w:rtl/>
        </w:rPr>
        <w:t>ש</w:t>
      </w:r>
      <w:r w:rsidRPr="00B74989">
        <w:rPr>
          <w:rFonts w:ascii="Arial" w:hAnsi="Arial"/>
          <w:rtl/>
        </w:rPr>
        <w:t>בפסק הדין</w:t>
      </w:r>
      <w:r w:rsidRPr="00B74989">
        <w:rPr>
          <w:rFonts w:ascii="Arial" w:hAnsi="Arial" w:hint="cs"/>
          <w:rtl/>
        </w:rPr>
        <w:t xml:space="preserve"> קמא ו/או </w:t>
      </w:r>
      <w:r w:rsidRPr="00B74989">
        <w:rPr>
          <w:rFonts w:ascii="Arial" w:hAnsi="Arial"/>
          <w:rtl/>
        </w:rPr>
        <w:t>טעות שבחוק</w:t>
      </w:r>
      <w:r w:rsidRPr="00B74989">
        <w:rPr>
          <w:rFonts w:ascii="Arial" w:hAnsi="Arial" w:hint="cs"/>
          <w:rtl/>
        </w:rPr>
        <w:t xml:space="preserve">.  </w:t>
      </w:r>
    </w:p>
    <w:p w14:paraId="29C7804E" w14:textId="77777777" w:rsidR="00B74989" w:rsidRPr="00B74989" w:rsidRDefault="00B74989" w:rsidP="000B76E7">
      <w:pPr>
        <w:numPr>
          <w:ilvl w:val="0"/>
          <w:numId w:val="1"/>
        </w:numPr>
        <w:spacing w:after="120" w:line="360" w:lineRule="auto"/>
        <w:ind w:hanging="720"/>
        <w:jc w:val="both"/>
        <w:rPr>
          <w:rFonts w:ascii="Arial" w:hAnsi="Arial"/>
          <w:b/>
          <w:bCs/>
          <w:rtl/>
        </w:rPr>
      </w:pPr>
      <w:r w:rsidRPr="00B74989">
        <w:rPr>
          <w:rFonts w:ascii="Arial" w:hAnsi="Arial" w:hint="cs"/>
          <w:b/>
          <w:bCs/>
          <w:rtl/>
        </w:rPr>
        <w:t xml:space="preserve">סוף דבר: אנו מורים על דחיית הערעור ומחייבים את המערער לשאת </w:t>
      </w:r>
      <w:r w:rsidRPr="00B74989">
        <w:rPr>
          <w:rFonts w:ascii="Arial" w:hAnsi="Arial"/>
          <w:b/>
          <w:bCs/>
          <w:rtl/>
        </w:rPr>
        <w:t xml:space="preserve">בהוצאות </w:t>
      </w:r>
      <w:r w:rsidRPr="00B74989">
        <w:rPr>
          <w:rFonts w:ascii="Arial" w:hAnsi="Arial" w:hint="cs"/>
          <w:b/>
          <w:bCs/>
          <w:rtl/>
        </w:rPr>
        <w:t>המשיבה</w:t>
      </w:r>
      <w:r w:rsidRPr="00B74989">
        <w:rPr>
          <w:rFonts w:ascii="Arial" w:hAnsi="Arial"/>
          <w:b/>
          <w:bCs/>
          <w:rtl/>
        </w:rPr>
        <w:t xml:space="preserve"> ובשכר טרחת</w:t>
      </w:r>
      <w:r w:rsidRPr="00B74989">
        <w:rPr>
          <w:rFonts w:ascii="Arial" w:hAnsi="Arial" w:hint="cs"/>
          <w:b/>
          <w:bCs/>
          <w:rtl/>
        </w:rPr>
        <w:t xml:space="preserve"> עו"ד </w:t>
      </w:r>
      <w:r w:rsidRPr="00B74989">
        <w:rPr>
          <w:rFonts w:ascii="Arial" w:hAnsi="Arial"/>
          <w:b/>
          <w:bCs/>
          <w:rtl/>
        </w:rPr>
        <w:t xml:space="preserve">בסכום כולל של </w:t>
      </w:r>
      <w:r w:rsidRPr="00B74989">
        <w:rPr>
          <w:rFonts w:ascii="Arial" w:hAnsi="Arial" w:hint="cs"/>
          <w:b/>
          <w:bCs/>
          <w:rtl/>
        </w:rPr>
        <w:t>15</w:t>
      </w:r>
      <w:r w:rsidRPr="00B74989">
        <w:rPr>
          <w:rFonts w:ascii="Arial" w:hAnsi="Arial"/>
          <w:b/>
          <w:bCs/>
          <w:rtl/>
        </w:rPr>
        <w:t>,000 ₪</w:t>
      </w:r>
      <w:r w:rsidRPr="00B74989">
        <w:rPr>
          <w:rFonts w:ascii="Arial" w:hAnsi="Arial" w:hint="cs"/>
          <w:b/>
          <w:bCs/>
          <w:rtl/>
        </w:rPr>
        <w:t xml:space="preserve">, אשר ישולמו מתוך סכום הפיקדון שהופקד ואשר יועבר </w:t>
      </w:r>
      <w:r w:rsidRPr="00B74989">
        <w:rPr>
          <w:rFonts w:ascii="Arial" w:hAnsi="Arial"/>
          <w:b/>
          <w:bCs/>
          <w:rtl/>
        </w:rPr>
        <w:t>למשיב</w:t>
      </w:r>
      <w:r w:rsidRPr="00B74989">
        <w:rPr>
          <w:rFonts w:ascii="Arial" w:hAnsi="Arial" w:hint="cs"/>
          <w:b/>
          <w:bCs/>
          <w:rtl/>
        </w:rPr>
        <w:t>ה ב</w:t>
      </w:r>
      <w:r w:rsidRPr="00B74989">
        <w:rPr>
          <w:rFonts w:ascii="Arial" w:hAnsi="Arial"/>
          <w:b/>
          <w:bCs/>
          <w:rtl/>
        </w:rPr>
        <w:t>אמצעות בא כו</w:t>
      </w:r>
      <w:r w:rsidRPr="00B74989">
        <w:rPr>
          <w:rFonts w:ascii="Arial" w:hAnsi="Arial" w:hint="cs"/>
          <w:b/>
          <w:bCs/>
          <w:rtl/>
        </w:rPr>
        <w:t>חה.</w:t>
      </w:r>
    </w:p>
    <w:p w14:paraId="6591E682" w14:textId="77777777" w:rsidR="00694556" w:rsidRPr="00C770E3" w:rsidRDefault="00694556">
      <w:pPr>
        <w:spacing w:line="360" w:lineRule="auto"/>
        <w:jc w:val="both"/>
        <w:rPr>
          <w:rFonts w:ascii="Arial" w:hAnsi="Arial"/>
          <w:rtl/>
        </w:rPr>
      </w:pPr>
    </w:p>
    <w:p w14:paraId="2944EF95" w14:textId="77777777" w:rsidR="00694556" w:rsidRDefault="00694556">
      <w:pPr>
        <w:spacing w:line="360" w:lineRule="auto"/>
        <w:jc w:val="both"/>
        <w:rPr>
          <w:rFonts w:ascii="Arial" w:hAnsi="Arial"/>
          <w:rtl/>
        </w:rPr>
      </w:pPr>
    </w:p>
    <w:p w14:paraId="54A7DF40" w14:textId="77777777" w:rsidR="00694556" w:rsidRDefault="00694556">
      <w:pPr>
        <w:spacing w:line="360" w:lineRule="auto"/>
        <w:jc w:val="both"/>
        <w:rPr>
          <w:rFonts w:ascii="Arial" w:hAnsi="Arial"/>
          <w:rtl/>
        </w:rPr>
      </w:pPr>
    </w:p>
    <w:p w14:paraId="472C75F6" w14:textId="77777777" w:rsidR="00B74989" w:rsidRDefault="00B74989" w:rsidP="00B74989">
      <w:pPr>
        <w:spacing w:line="360" w:lineRule="auto"/>
        <w:jc w:val="both"/>
        <w:rPr>
          <w:rFonts w:ascii="Arial" w:hAnsi="Arial"/>
          <w:rtl/>
        </w:rPr>
      </w:pPr>
      <w:r>
        <w:rPr>
          <w:rFonts w:ascii="Arial" w:hAnsi="Arial" w:hint="cs"/>
          <w:rtl/>
        </w:rPr>
        <w:t>המזכירות תעביר את פסק הדין לצדדים.</w:t>
      </w:r>
    </w:p>
    <w:p w14:paraId="0FB644CC" w14:textId="77777777" w:rsidR="00B74989" w:rsidRDefault="00B74989">
      <w:pPr>
        <w:spacing w:line="360" w:lineRule="auto"/>
        <w:jc w:val="both"/>
        <w:rPr>
          <w:rFonts w:ascii="Arial" w:hAnsi="Arial"/>
          <w:rtl/>
        </w:rPr>
      </w:pPr>
    </w:p>
    <w:p w14:paraId="5E7A0533" w14:textId="77777777" w:rsidR="009E2C4C" w:rsidRDefault="009E2C4C">
      <w:pPr>
        <w:spacing w:line="360" w:lineRule="auto"/>
        <w:jc w:val="both"/>
        <w:rPr>
          <w:rFonts w:ascii="Arial" w:hAnsi="Arial"/>
          <w:rtl/>
        </w:rPr>
      </w:pPr>
    </w:p>
    <w:p w14:paraId="0A264D1F" w14:textId="77777777" w:rsidR="00B74989" w:rsidRPr="00B74989" w:rsidRDefault="00B74989">
      <w:pPr>
        <w:spacing w:line="360" w:lineRule="auto"/>
        <w:jc w:val="both"/>
        <w:rPr>
          <w:rFonts w:ascii="Arial" w:hAnsi="Arial"/>
          <w:b/>
          <w:bCs/>
          <w:rtl/>
        </w:rPr>
      </w:pPr>
      <w:r w:rsidRPr="00B74989">
        <w:rPr>
          <w:rFonts w:ascii="Arial" w:hAnsi="Arial" w:hint="cs"/>
          <w:b/>
          <w:bCs/>
          <w:rtl/>
        </w:rPr>
        <w:lastRenderedPageBreak/>
        <w:t>פסק דין זה מותר לפרסום, תוך השמטת שמות הצדדים וכל פרט מזהה אחר.</w:t>
      </w:r>
    </w:p>
    <w:p w14:paraId="7A695EB2" w14:textId="77777777" w:rsidR="00B74989" w:rsidRDefault="00B74989">
      <w:pPr>
        <w:spacing w:line="360" w:lineRule="auto"/>
        <w:jc w:val="both"/>
        <w:rPr>
          <w:rFonts w:ascii="Arial" w:hAnsi="Arial"/>
          <w:rtl/>
        </w:rPr>
      </w:pPr>
    </w:p>
    <w:p w14:paraId="3762DAF6" w14:textId="77777777" w:rsidR="00B74989" w:rsidRDefault="00B74989">
      <w:pPr>
        <w:spacing w:line="360" w:lineRule="auto"/>
        <w:jc w:val="both"/>
        <w:rPr>
          <w:rFonts w:ascii="Arial" w:hAnsi="Arial"/>
          <w:rtl/>
        </w:rPr>
      </w:pPr>
    </w:p>
    <w:p w14:paraId="6676D26D" w14:textId="77777777" w:rsidR="00B74989" w:rsidRPr="00C770E3" w:rsidRDefault="00B74989">
      <w:pPr>
        <w:spacing w:line="360" w:lineRule="auto"/>
        <w:jc w:val="both"/>
        <w:rPr>
          <w:rFonts w:ascii="Arial" w:hAnsi="Arial"/>
          <w:rtl/>
        </w:rPr>
      </w:pPr>
    </w:p>
    <w:p w14:paraId="77738F3D" w14:textId="77777777" w:rsidR="00B74989" w:rsidRDefault="0043502B" w:rsidP="00B74989">
      <w:pPr>
        <w:spacing w:line="360" w:lineRule="auto"/>
        <w:jc w:val="both"/>
        <w:rPr>
          <w:rFonts w:ascii="Arial" w:hAnsi="Arial"/>
          <w:rtl/>
        </w:rPr>
      </w:pPr>
      <w:r>
        <w:rPr>
          <w:rFonts w:ascii="Arial" w:hAnsi="Arial"/>
          <w:rtl/>
        </w:rPr>
        <w:t>נית</w:t>
      </w:r>
      <w:r w:rsidR="00860102">
        <w:rPr>
          <w:rFonts w:ascii="Arial" w:hAnsi="Arial" w:hint="cs"/>
          <w:rtl/>
        </w:rPr>
        <w:t>ן</w:t>
      </w:r>
      <w:r w:rsidR="00005C8B">
        <w:rPr>
          <w:rFonts w:ascii="Arial" w:hAnsi="Arial"/>
          <w:rtl/>
        </w:rPr>
        <w:t xml:space="preserve"> היום, </w:t>
      </w:r>
      <w:sdt>
        <w:sdtPr>
          <w:rPr>
            <w:rtl/>
          </w:rPr>
          <w:alias w:val="1455"/>
          <w:tag w:val="1455"/>
          <w:id w:val="1666048407"/>
          <w:text w:multiLine="1"/>
        </w:sdtPr>
        <w:sdtEndPr/>
        <w:sdtContent>
          <w:r>
            <w:rPr>
              <w:rFonts w:ascii="Arial" w:hAnsi="Arial"/>
              <w:rtl/>
            </w:rPr>
            <w:t>י"ב אדר תשפ"ה</w:t>
          </w:r>
        </w:sdtContent>
      </w:sdt>
      <w:r w:rsidR="00005C8B">
        <w:rPr>
          <w:rFonts w:ascii="Arial" w:hAnsi="Arial"/>
          <w:rtl/>
        </w:rPr>
        <w:t xml:space="preserve">, </w:t>
      </w:r>
      <w:sdt>
        <w:sdtPr>
          <w:rPr>
            <w:rtl/>
          </w:rPr>
          <w:alias w:val="1456"/>
          <w:tag w:val="1456"/>
          <w:id w:val="-1186288958"/>
          <w:text w:multiLine="1"/>
        </w:sdtPr>
        <w:sdtEndPr/>
        <w:sdtContent>
          <w:r>
            <w:rPr>
              <w:rFonts w:ascii="Arial" w:hAnsi="Arial"/>
              <w:rtl/>
            </w:rPr>
            <w:t>12 מרץ 2025</w:t>
          </w:r>
        </w:sdtContent>
      </w:sdt>
      <w:r w:rsidR="00B74989">
        <w:rPr>
          <w:rFonts w:ascii="Arial" w:hAnsi="Arial"/>
          <w:rtl/>
        </w:rPr>
        <w:t>, בהעדר הצדדים</w:t>
      </w:r>
      <w:r w:rsidR="00B74989">
        <w:rPr>
          <w:rFonts w:ascii="Arial" w:hAnsi="Arial" w:hint="cs"/>
          <w:rtl/>
        </w:rPr>
        <w:t>.</w:t>
      </w:r>
    </w:p>
    <w:p w14:paraId="274B09BA" w14:textId="77777777" w:rsidR="00B74989" w:rsidRDefault="00B74989" w:rsidP="00B74989">
      <w:pPr>
        <w:spacing w:line="360" w:lineRule="auto"/>
        <w:jc w:val="both"/>
        <w:rPr>
          <w:rFonts w:ascii="Arial" w:hAnsi="Arial"/>
          <w:rtl/>
        </w:rPr>
      </w:pPr>
    </w:p>
    <w:p w14:paraId="04C0F413" w14:textId="77777777" w:rsidR="00694556" w:rsidRDefault="00694556" w:rsidP="00BD6531">
      <w:pPr>
        <w:tabs>
          <w:tab w:val="left" w:pos="2553"/>
        </w:tabs>
        <w:rPr>
          <w:rFonts w:ascii="Arial" w:hAnsi="Arial"/>
          <w:rtl/>
        </w:rPr>
      </w:pPr>
    </w:p>
    <w:p w14:paraId="796025A9" w14:textId="77777777" w:rsidR="00B74989" w:rsidRDefault="00B74989" w:rsidP="00BD6531">
      <w:pPr>
        <w:tabs>
          <w:tab w:val="left" w:pos="2553"/>
        </w:tabs>
        <w:rPr>
          <w:rFonts w:ascii="Arial" w:hAnsi="Arial"/>
          <w:rtl/>
        </w:rPr>
      </w:pPr>
    </w:p>
    <w:p w14:paraId="7891BD67" w14:textId="77777777" w:rsidR="00B74989" w:rsidRPr="00EC12BC" w:rsidRDefault="00B74989"/>
    <w:tbl>
      <w:tblPr>
        <w:tblStyle w:val="a9"/>
        <w:bidiVisual/>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
        <w:gridCol w:w="2633"/>
        <w:gridCol w:w="163"/>
        <w:gridCol w:w="191"/>
        <w:gridCol w:w="163"/>
        <w:gridCol w:w="2149"/>
        <w:gridCol w:w="163"/>
        <w:gridCol w:w="178"/>
        <w:gridCol w:w="163"/>
        <w:gridCol w:w="2340"/>
        <w:gridCol w:w="163"/>
      </w:tblGrid>
      <w:tr w:rsidR="00B74989" w:rsidRPr="00EC12BC" w14:paraId="75174A49" w14:textId="77777777" w:rsidTr="00B74989">
        <w:trPr>
          <w:gridAfter w:val="1"/>
          <w:wAfter w:w="163" w:type="dxa"/>
        </w:trPr>
        <w:tc>
          <w:tcPr>
            <w:tcW w:w="2695" w:type="dxa"/>
            <w:gridSpan w:val="2"/>
            <w:tcBorders>
              <w:top w:val="nil"/>
              <w:left w:val="nil"/>
              <w:bottom w:val="single" w:sz="4" w:space="0" w:color="auto"/>
              <w:right w:val="nil"/>
            </w:tcBorders>
            <w:vAlign w:val="bottom"/>
          </w:tcPr>
          <w:p w14:paraId="0A1BFFBF" w14:textId="77777777" w:rsidR="00B74989" w:rsidRPr="00EC12BC" w:rsidRDefault="00B74989" w:rsidP="00BB162B">
            <w:pPr>
              <w:jc w:val="center"/>
              <w:rPr>
                <w:rFonts w:ascii="Courier New" w:hAnsi="Courier New"/>
                <w:b/>
                <w:bCs/>
              </w:rPr>
            </w:pPr>
            <w:r>
              <w:rPr>
                <w:noProof/>
              </w:rPr>
              <w:drawing>
                <wp:inline distT="0" distB="0" distL="0" distR="0" wp14:anchorId="794F9F5D" wp14:editId="7EA1B289">
                  <wp:extent cx="1361051" cy="844004"/>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66341" cy="847284"/>
                          </a:xfrm>
                          <a:prstGeom prst="rect">
                            <a:avLst/>
                          </a:prstGeom>
                        </pic:spPr>
                      </pic:pic>
                    </a:graphicData>
                  </a:graphic>
                </wp:inline>
              </w:drawing>
            </w:r>
          </w:p>
        </w:tc>
        <w:tc>
          <w:tcPr>
            <w:tcW w:w="354" w:type="dxa"/>
            <w:gridSpan w:val="2"/>
            <w:vAlign w:val="bottom"/>
          </w:tcPr>
          <w:p w14:paraId="6F2F0871" w14:textId="77777777" w:rsidR="00B74989" w:rsidRPr="00EC12BC" w:rsidRDefault="00B74989" w:rsidP="00BB162B">
            <w:pPr>
              <w:jc w:val="center"/>
              <w:rPr>
                <w:rFonts w:ascii="Courier New" w:hAnsi="Courier New"/>
                <w:b/>
                <w:bCs/>
              </w:rPr>
            </w:pPr>
          </w:p>
        </w:tc>
        <w:tc>
          <w:tcPr>
            <w:tcW w:w="2312" w:type="dxa"/>
            <w:gridSpan w:val="2"/>
            <w:tcBorders>
              <w:top w:val="nil"/>
              <w:left w:val="nil"/>
              <w:bottom w:val="single" w:sz="4" w:space="0" w:color="auto"/>
              <w:right w:val="nil"/>
            </w:tcBorders>
            <w:vAlign w:val="bottom"/>
          </w:tcPr>
          <w:p w14:paraId="7A63D0E2" w14:textId="77777777" w:rsidR="00B74989" w:rsidRPr="00EC12BC" w:rsidRDefault="00B74989" w:rsidP="00BB162B">
            <w:pPr>
              <w:jc w:val="center"/>
              <w:rPr>
                <w:rFonts w:ascii="Courier New" w:hAnsi="Courier New"/>
                <w:b/>
                <w:bCs/>
              </w:rPr>
            </w:pPr>
            <w:r>
              <w:rPr>
                <w:noProof/>
              </w:rPr>
              <w:drawing>
                <wp:inline distT="0" distB="0" distL="0" distR="0" wp14:anchorId="1C4B266F" wp14:editId="0A0E4320">
                  <wp:extent cx="527685" cy="817880"/>
                  <wp:effectExtent l="0" t="0" r="5715" b="1270"/>
                  <wp:docPr id="3" name="תמונה 3"/>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817880"/>
                          </a:xfrm>
                          <a:prstGeom prst="rect">
                            <a:avLst/>
                          </a:prstGeom>
                          <a:noFill/>
                          <a:ln>
                            <a:noFill/>
                          </a:ln>
                        </pic:spPr>
                      </pic:pic>
                    </a:graphicData>
                  </a:graphic>
                </wp:inline>
              </w:drawing>
            </w:r>
          </w:p>
        </w:tc>
        <w:tc>
          <w:tcPr>
            <w:tcW w:w="341" w:type="dxa"/>
            <w:gridSpan w:val="2"/>
            <w:vAlign w:val="bottom"/>
          </w:tcPr>
          <w:p w14:paraId="6251556D" w14:textId="77777777" w:rsidR="00B74989" w:rsidRPr="00EC12BC" w:rsidRDefault="00B74989" w:rsidP="00BB162B">
            <w:pPr>
              <w:jc w:val="center"/>
              <w:rPr>
                <w:rFonts w:ascii="Courier New" w:hAnsi="Courier New"/>
                <w:b/>
                <w:bCs/>
              </w:rPr>
            </w:pPr>
          </w:p>
        </w:tc>
        <w:tc>
          <w:tcPr>
            <w:tcW w:w="2503" w:type="dxa"/>
            <w:gridSpan w:val="2"/>
            <w:tcBorders>
              <w:top w:val="nil"/>
              <w:left w:val="nil"/>
              <w:bottom w:val="single" w:sz="4" w:space="0" w:color="auto"/>
              <w:right w:val="nil"/>
            </w:tcBorders>
            <w:vAlign w:val="bottom"/>
          </w:tcPr>
          <w:p w14:paraId="65472304" w14:textId="77777777" w:rsidR="00B74989" w:rsidRPr="00EC12BC" w:rsidRDefault="00B74989" w:rsidP="00BB162B">
            <w:pPr>
              <w:jc w:val="center"/>
              <w:rPr>
                <w:rFonts w:ascii="Courier New" w:hAnsi="Courier New"/>
                <w:b/>
                <w:bCs/>
              </w:rPr>
            </w:pPr>
            <w:r>
              <w:rPr>
                <w:noProof/>
              </w:rPr>
              <w:drawing>
                <wp:inline distT="0" distB="0" distL="0" distR="0" wp14:anchorId="6031CB16" wp14:editId="7148E820">
                  <wp:extent cx="848360" cy="877570"/>
                  <wp:effectExtent l="0" t="0" r="8890" b="0"/>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0">
                            <a:extLst>
                              <a:ext uri="{BEBA8EAE-BF5A-486C-A8C5-ECC9F3942E4B}">
                                <a14:imgProps xmlns:a14="http://schemas.microsoft.com/office/drawing/2010/main">
                                  <a14:imgLayer r:embed="rId11">
                                    <a14:imgEffect>
                                      <a14:brightnessContrast bright="20000" contrast="20000"/>
                                    </a14:imgEffect>
                                  </a14:imgLayer>
                                </a14:imgProps>
                              </a:ext>
                            </a:extLst>
                          </a:blip>
                          <a:stretch>
                            <a:fillRect/>
                          </a:stretch>
                        </pic:blipFill>
                        <pic:spPr>
                          <a:xfrm>
                            <a:off x="0" y="0"/>
                            <a:ext cx="848360" cy="877570"/>
                          </a:xfrm>
                          <a:prstGeom prst="rect">
                            <a:avLst/>
                          </a:prstGeom>
                        </pic:spPr>
                      </pic:pic>
                    </a:graphicData>
                  </a:graphic>
                </wp:inline>
              </w:drawing>
            </w:r>
          </w:p>
        </w:tc>
      </w:tr>
      <w:tr w:rsidR="00B74989" w:rsidRPr="00EC12BC" w14:paraId="3EF53B5F" w14:textId="77777777" w:rsidTr="00B74989">
        <w:trPr>
          <w:gridBefore w:val="1"/>
          <w:wBefore w:w="62" w:type="dxa"/>
        </w:trPr>
        <w:tc>
          <w:tcPr>
            <w:tcW w:w="2796" w:type="dxa"/>
            <w:gridSpan w:val="2"/>
            <w:tcBorders>
              <w:top w:val="single" w:sz="4" w:space="0" w:color="auto"/>
              <w:left w:val="nil"/>
              <w:bottom w:val="nil"/>
              <w:right w:val="nil"/>
            </w:tcBorders>
          </w:tcPr>
          <w:p w14:paraId="1989B9B3" w14:textId="77777777" w:rsidR="00B74989" w:rsidRDefault="00B74989" w:rsidP="00BB162B">
            <w:pPr>
              <w:jc w:val="center"/>
              <w:rPr>
                <w:b/>
                <w:bCs/>
                <w:rtl/>
              </w:rPr>
            </w:pPr>
            <w:r>
              <w:rPr>
                <w:rFonts w:hint="cs"/>
                <w:b/>
                <w:bCs/>
                <w:rtl/>
              </w:rPr>
              <w:t>ח. שרעבי, שופט</w:t>
            </w:r>
          </w:p>
          <w:p w14:paraId="53A5C026" w14:textId="77777777" w:rsidR="00B74989" w:rsidRPr="00EC12BC" w:rsidRDefault="00B74989" w:rsidP="00BB162B">
            <w:pPr>
              <w:jc w:val="center"/>
              <w:rPr>
                <w:b/>
                <w:bCs/>
              </w:rPr>
            </w:pPr>
            <w:r>
              <w:rPr>
                <w:rFonts w:hint="cs"/>
                <w:b/>
                <w:bCs/>
                <w:rtl/>
              </w:rPr>
              <w:t>אב"ד</w:t>
            </w:r>
          </w:p>
        </w:tc>
        <w:tc>
          <w:tcPr>
            <w:tcW w:w="354" w:type="dxa"/>
            <w:gridSpan w:val="2"/>
          </w:tcPr>
          <w:p w14:paraId="18C94D85" w14:textId="77777777" w:rsidR="00B74989" w:rsidRPr="00EC12BC" w:rsidRDefault="00B74989" w:rsidP="00BB162B">
            <w:pPr>
              <w:spacing w:line="360" w:lineRule="auto"/>
              <w:rPr>
                <w:b/>
                <w:bCs/>
                <w:color w:val="FF0000"/>
              </w:rPr>
            </w:pPr>
          </w:p>
        </w:tc>
        <w:tc>
          <w:tcPr>
            <w:tcW w:w="2312" w:type="dxa"/>
            <w:gridSpan w:val="2"/>
            <w:tcBorders>
              <w:top w:val="single" w:sz="4" w:space="0" w:color="auto"/>
              <w:left w:val="nil"/>
              <w:bottom w:val="nil"/>
              <w:right w:val="nil"/>
            </w:tcBorders>
          </w:tcPr>
          <w:p w14:paraId="7DAFA760" w14:textId="77777777" w:rsidR="00B74989" w:rsidRPr="00EC12BC" w:rsidRDefault="00B74989" w:rsidP="00BB162B">
            <w:pPr>
              <w:spacing w:line="360" w:lineRule="auto"/>
              <w:jc w:val="center"/>
              <w:rPr>
                <w:b/>
                <w:bCs/>
              </w:rPr>
            </w:pPr>
            <w:r>
              <w:rPr>
                <w:rFonts w:hint="cs"/>
                <w:b/>
                <w:bCs/>
                <w:rtl/>
              </w:rPr>
              <w:t>א. אלון, שופטת</w:t>
            </w:r>
          </w:p>
        </w:tc>
        <w:tc>
          <w:tcPr>
            <w:tcW w:w="341" w:type="dxa"/>
            <w:gridSpan w:val="2"/>
          </w:tcPr>
          <w:p w14:paraId="56B519B1" w14:textId="77777777" w:rsidR="00B74989" w:rsidRPr="00EC12BC" w:rsidRDefault="00B74989" w:rsidP="00BB162B">
            <w:pPr>
              <w:spacing w:line="360" w:lineRule="auto"/>
              <w:rPr>
                <w:b/>
                <w:bCs/>
                <w:color w:val="FF0000"/>
              </w:rPr>
            </w:pPr>
          </w:p>
        </w:tc>
        <w:tc>
          <w:tcPr>
            <w:tcW w:w="2503" w:type="dxa"/>
            <w:gridSpan w:val="2"/>
            <w:tcBorders>
              <w:top w:val="single" w:sz="4" w:space="0" w:color="auto"/>
              <w:left w:val="nil"/>
              <w:bottom w:val="nil"/>
              <w:right w:val="nil"/>
            </w:tcBorders>
          </w:tcPr>
          <w:p w14:paraId="7CA7730A" w14:textId="77777777" w:rsidR="00B74989" w:rsidRPr="00EC12BC" w:rsidRDefault="00B74989" w:rsidP="00BB162B">
            <w:pPr>
              <w:spacing w:line="360" w:lineRule="auto"/>
              <w:jc w:val="center"/>
              <w:rPr>
                <w:b/>
                <w:bCs/>
                <w:rtl/>
              </w:rPr>
            </w:pPr>
            <w:r>
              <w:rPr>
                <w:rFonts w:hint="cs"/>
                <w:b/>
                <w:bCs/>
                <w:rtl/>
              </w:rPr>
              <w:t>א. נאמן, שופט</w:t>
            </w:r>
          </w:p>
        </w:tc>
      </w:tr>
    </w:tbl>
    <w:p w14:paraId="60F38559" w14:textId="77777777" w:rsidR="00B74989" w:rsidRDefault="00B74989" w:rsidP="00BD6531">
      <w:pPr>
        <w:tabs>
          <w:tab w:val="left" w:pos="2553"/>
        </w:tabs>
        <w:rPr>
          <w:rFonts w:ascii="Arial" w:hAnsi="Arial"/>
          <w:rtl/>
        </w:rPr>
      </w:pPr>
    </w:p>
    <w:sectPr w:rsidR="00B74989" w:rsidSect="00B74989">
      <w:headerReference w:type="default" r:id="rId12"/>
      <w:footerReference w:type="default" r:id="rId13"/>
      <w:pgSz w:w="11907" w:h="16840" w:code="9"/>
      <w:pgMar w:top="1440" w:right="850" w:bottom="1440" w:left="1418" w:header="720" w:footer="510"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4C75" w14:textId="77777777" w:rsidR="00841963" w:rsidRDefault="00841963">
      <w:r>
        <w:separator/>
      </w:r>
    </w:p>
  </w:endnote>
  <w:endnote w:type="continuationSeparator" w:id="0">
    <w:p w14:paraId="7FC72DA9" w14:textId="77777777" w:rsidR="00841963" w:rsidRDefault="0084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07AC" w14:textId="77777777" w:rsidR="00694556" w:rsidRPr="00424313" w:rsidRDefault="000C3B60">
    <w:pPr>
      <w:pStyle w:val="a4"/>
      <w:jc w:val="center"/>
      <w:rPr>
        <w:rStyle w:val="ab"/>
        <w:rFonts w:ascii="David" w:hAnsi="David"/>
      </w:rPr>
    </w:pPr>
    <w:r w:rsidRPr="00424313">
      <w:rPr>
        <w:rStyle w:val="ab"/>
        <w:rFonts w:ascii="David" w:hAnsi="David"/>
      </w:rPr>
      <w:fldChar w:fldCharType="begin"/>
    </w:r>
    <w:r w:rsidR="00005C8B" w:rsidRPr="00424313">
      <w:rPr>
        <w:rStyle w:val="ab"/>
        <w:rFonts w:ascii="David" w:hAnsi="David"/>
      </w:rPr>
      <w:instrText xml:space="preserve"> PAGE </w:instrText>
    </w:r>
    <w:r w:rsidRPr="00424313">
      <w:rPr>
        <w:rStyle w:val="ab"/>
        <w:rFonts w:ascii="David" w:hAnsi="David"/>
      </w:rPr>
      <w:fldChar w:fldCharType="separate"/>
    </w:r>
    <w:r w:rsidR="00B41F46">
      <w:rPr>
        <w:rStyle w:val="ab"/>
        <w:rFonts w:ascii="David" w:hAnsi="David"/>
        <w:noProof/>
        <w:rtl/>
      </w:rPr>
      <w:t>1</w:t>
    </w:r>
    <w:r w:rsidRPr="00424313">
      <w:rPr>
        <w:rStyle w:val="ab"/>
        <w:rFonts w:ascii="David" w:hAnsi="David"/>
      </w:rPr>
      <w:fldChar w:fldCharType="end"/>
    </w:r>
    <w:r w:rsidR="00005C8B" w:rsidRPr="00424313">
      <w:rPr>
        <w:rStyle w:val="ab"/>
        <w:rFonts w:ascii="David" w:hAnsi="David"/>
        <w:rtl/>
      </w:rPr>
      <w:t xml:space="preserve"> מתוך </w:t>
    </w:r>
    <w:r w:rsidRPr="00424313">
      <w:rPr>
        <w:rStyle w:val="ab"/>
        <w:rFonts w:ascii="David" w:hAnsi="David"/>
      </w:rPr>
      <w:fldChar w:fldCharType="begin"/>
    </w:r>
    <w:r w:rsidR="00005C8B" w:rsidRPr="00424313">
      <w:rPr>
        <w:rStyle w:val="ab"/>
        <w:rFonts w:ascii="David" w:hAnsi="David"/>
      </w:rPr>
      <w:instrText xml:space="preserve"> NUMPAGES </w:instrText>
    </w:r>
    <w:r w:rsidRPr="00424313">
      <w:rPr>
        <w:rStyle w:val="ab"/>
        <w:rFonts w:ascii="David" w:hAnsi="David"/>
      </w:rPr>
      <w:fldChar w:fldCharType="separate"/>
    </w:r>
    <w:r w:rsidR="00B41F46">
      <w:rPr>
        <w:rStyle w:val="ab"/>
        <w:rFonts w:ascii="David" w:hAnsi="David"/>
        <w:noProof/>
        <w:rtl/>
      </w:rPr>
      <w:t>6</w:t>
    </w:r>
    <w:r w:rsidRPr="00424313">
      <w:rPr>
        <w:rStyle w:val="ab"/>
        <w:rFonts w:ascii="David" w:hAnsi="Dav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A46D" w14:textId="77777777" w:rsidR="00841963" w:rsidRDefault="00841963">
      <w:r>
        <w:separator/>
      </w:r>
    </w:p>
  </w:footnote>
  <w:footnote w:type="continuationSeparator" w:id="0">
    <w:p w14:paraId="5BDC1A3A" w14:textId="77777777" w:rsidR="00841963" w:rsidRDefault="0084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D7C9" w14:textId="77777777" w:rsidR="00694556" w:rsidRDefault="00DC1259">
    <w:pPr>
      <w:pStyle w:val="a3"/>
      <w:jc w:val="center"/>
      <w:rPr>
        <w:rFonts w:cs="FrankRuehl"/>
        <w:sz w:val="28"/>
        <w:szCs w:val="28"/>
        <w:rtl/>
      </w:rPr>
    </w:pPr>
    <w:r>
      <w:rPr>
        <w:rFonts w:cs="FrankRuehl"/>
        <w:noProof/>
        <w:sz w:val="28"/>
        <w:szCs w:val="28"/>
      </w:rPr>
      <w:drawing>
        <wp:inline distT="0" distB="0" distL="0" distR="0" wp14:anchorId="7197FFA1" wp14:editId="6F36B6BA">
          <wp:extent cx="374015" cy="469265"/>
          <wp:effectExtent l="0" t="0" r="6985" b="6985"/>
          <wp:docPr id="35"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5047"/>
      <w:gridCol w:w="3674"/>
    </w:tblGrid>
    <w:tr w:rsidR="00694556" w14:paraId="0FBF9FE0" w14:textId="77777777" w:rsidTr="00686C21">
      <w:trPr>
        <w:trHeight w:hRule="exact" w:val="704"/>
        <w:jc w:val="center"/>
      </w:trPr>
      <w:sdt>
        <w:sdtPr>
          <w:rPr>
            <w:rFonts w:ascii="Tahoma" w:hAnsi="Tahoma"/>
            <w:color w:val="000080"/>
            <w:sz w:val="32"/>
            <w:szCs w:val="32"/>
            <w:rtl/>
          </w:rPr>
          <w:alias w:val="1174"/>
          <w:tag w:val="1174"/>
          <w:id w:val="-1585920285"/>
          <w:text w:multiLine="1"/>
        </w:sdtPr>
        <w:sdtEndPr/>
        <w:sdtContent>
          <w:tc>
            <w:tcPr>
              <w:tcW w:w="8721" w:type="dxa"/>
              <w:gridSpan w:val="2"/>
            </w:tcPr>
            <w:p w14:paraId="3B56E5EE" w14:textId="77777777" w:rsidR="00694556" w:rsidRPr="00F038D8" w:rsidRDefault="003D1C8C" w:rsidP="003230C7">
              <w:pPr>
                <w:pStyle w:val="a3"/>
                <w:jc w:val="center"/>
                <w:rPr>
                  <w:rFonts w:ascii="Tahoma" w:hAnsi="Tahoma"/>
                  <w:color w:val="000080"/>
                  <w:sz w:val="32"/>
                  <w:szCs w:val="32"/>
                  <w:rtl/>
                </w:rPr>
              </w:pPr>
              <w:r w:rsidRPr="00F038D8">
                <w:rPr>
                  <w:rFonts w:ascii="Tahoma" w:hAnsi="Tahoma"/>
                  <w:color w:val="000080"/>
                  <w:sz w:val="32"/>
                  <w:szCs w:val="32"/>
                  <w:rtl/>
                </w:rPr>
                <w:t>בית המשפט המחוזי בחיפה בשבתו כבית-משפט לערעורים אזרחיים</w:t>
              </w:r>
            </w:p>
          </w:tc>
        </w:sdtContent>
      </w:sdt>
    </w:tr>
    <w:tr w:rsidR="00694556" w14:paraId="45C5541D" w14:textId="77777777">
      <w:trPr>
        <w:trHeight w:val="337"/>
        <w:jc w:val="center"/>
      </w:trPr>
      <w:tc>
        <w:tcPr>
          <w:tcW w:w="5047" w:type="dxa"/>
        </w:tcPr>
        <w:p w14:paraId="456501A2" w14:textId="77777777" w:rsidR="00694556" w:rsidRDefault="00694556">
          <w:pPr>
            <w:rPr>
              <w:b/>
              <w:bCs/>
              <w:sz w:val="26"/>
              <w:szCs w:val="26"/>
              <w:rtl/>
            </w:rPr>
          </w:pPr>
        </w:p>
      </w:tc>
      <w:tc>
        <w:tcPr>
          <w:tcW w:w="3674" w:type="dxa"/>
        </w:tcPr>
        <w:p w14:paraId="4EFC729A" w14:textId="77777777" w:rsidR="00694556" w:rsidRDefault="00694556">
          <w:pPr>
            <w:pStyle w:val="a3"/>
            <w:jc w:val="right"/>
            <w:rPr>
              <w:b/>
              <w:bCs/>
              <w:sz w:val="26"/>
              <w:szCs w:val="26"/>
              <w:rtl/>
            </w:rPr>
          </w:pPr>
        </w:p>
      </w:tc>
    </w:tr>
    <w:tr w:rsidR="00694556" w14:paraId="20129A0D" w14:textId="77777777">
      <w:trPr>
        <w:trHeight w:val="337"/>
        <w:jc w:val="center"/>
      </w:trPr>
      <w:tc>
        <w:tcPr>
          <w:tcW w:w="8721" w:type="dxa"/>
          <w:gridSpan w:val="2"/>
        </w:tcPr>
        <w:p w14:paraId="3E38B207" w14:textId="77777777" w:rsidR="008D10B2" w:rsidRPr="00B74989" w:rsidRDefault="005E538D" w:rsidP="00B74989">
          <w:pPr>
            <w:rPr>
              <w:b/>
              <w:bCs/>
              <w:sz w:val="26"/>
              <w:szCs w:val="26"/>
              <w:rtl/>
            </w:rPr>
          </w:pPr>
          <w:sdt>
            <w:sdtPr>
              <w:rPr>
                <w:rtl/>
              </w:rPr>
              <w:alias w:val="1170"/>
              <w:tag w:val="1170"/>
              <w:id w:val="1066377040"/>
              <w:text w:multiLine="1"/>
            </w:sdtPr>
            <w:sdtEndPr/>
            <w:sdtContent>
              <w:r w:rsidR="00424313">
                <w:rPr>
                  <w:b/>
                  <w:bCs/>
                  <w:sz w:val="26"/>
                  <w:szCs w:val="26"/>
                  <w:rtl/>
                </w:rPr>
                <w:t>עמ"ש</w:t>
              </w:r>
            </w:sdtContent>
          </w:sdt>
          <w:r w:rsidR="00005C8B">
            <w:rPr>
              <w:b/>
              <w:bCs/>
              <w:sz w:val="26"/>
              <w:szCs w:val="26"/>
              <w:rtl/>
            </w:rPr>
            <w:t xml:space="preserve"> </w:t>
          </w:r>
          <w:sdt>
            <w:sdtPr>
              <w:rPr>
                <w:rtl/>
              </w:rPr>
              <w:alias w:val="1171"/>
              <w:tag w:val="1171"/>
              <w:id w:val="257034231"/>
              <w:text w:multiLine="1"/>
            </w:sdtPr>
            <w:sdtEndPr/>
            <w:sdtContent>
              <w:r w:rsidR="00424313">
                <w:rPr>
                  <w:b/>
                  <w:bCs/>
                  <w:sz w:val="26"/>
                  <w:szCs w:val="26"/>
                  <w:rtl/>
                </w:rPr>
                <w:t>46664-10-24</w:t>
              </w:r>
            </w:sdtContent>
          </w:sdt>
          <w:r w:rsidR="00005C8B">
            <w:rPr>
              <w:b/>
              <w:bCs/>
              <w:sz w:val="26"/>
              <w:szCs w:val="26"/>
              <w:rtl/>
            </w:rPr>
            <w:t xml:space="preserve"> </w:t>
          </w:r>
          <w:sdt>
            <w:sdtPr>
              <w:rPr>
                <w:b/>
                <w:bCs/>
                <w:sz w:val="26"/>
                <w:szCs w:val="26"/>
                <w:rtl/>
              </w:rPr>
              <w:alias w:val="3154"/>
              <w:tag w:val="3154"/>
              <w:id w:val="-1285889662"/>
              <w:placeholder>
                <w:docPart w:val="F5EF4663D5094D57BB3FEC6B89CF5C8E"/>
              </w:placeholder>
              <w:text w:multiLine="1"/>
            </w:sdtPr>
            <w:sdtEndPr/>
            <w:sdtContent>
              <w:r w:rsidR="00610F11">
                <w:rPr>
                  <w:rFonts w:hint="cs"/>
                  <w:b/>
                  <w:bCs/>
                  <w:sz w:val="26"/>
                  <w:szCs w:val="26"/>
                  <w:rtl/>
                </w:rPr>
                <w:t>האיש</w:t>
              </w:r>
              <w:r w:rsidR="00424313">
                <w:rPr>
                  <w:b/>
                  <w:bCs/>
                  <w:sz w:val="26"/>
                  <w:szCs w:val="26"/>
                  <w:rtl/>
                </w:rPr>
                <w:t xml:space="preserve"> נ' </w:t>
              </w:r>
              <w:r w:rsidR="00610F11">
                <w:rPr>
                  <w:rFonts w:hint="cs"/>
                  <w:b/>
                  <w:bCs/>
                  <w:sz w:val="26"/>
                  <w:szCs w:val="26"/>
                  <w:rtl/>
                </w:rPr>
                <w:t>האישה</w:t>
              </w:r>
            </w:sdtContent>
          </w:sdt>
          <w:r w:rsidR="007D45E3">
            <w:rPr>
              <w:rFonts w:hint="cs"/>
              <w:rtl/>
            </w:rPr>
            <w:t xml:space="preserve">                           </w:t>
          </w:r>
          <w:r w:rsidR="007D45E3">
            <w:rPr>
              <w:rFonts w:hint="cs"/>
              <w:sz w:val="20"/>
              <w:szCs w:val="20"/>
              <w:rtl/>
            </w:rPr>
            <w:t xml:space="preserve">                                       </w:t>
          </w:r>
          <w:sdt>
            <w:sdtPr>
              <w:rPr>
                <w:rFonts w:hint="cs"/>
                <w:sz w:val="20"/>
                <w:szCs w:val="20"/>
                <w:rtl/>
              </w:rPr>
              <w:alias w:val="1198"/>
              <w:tag w:val="1198"/>
              <w:id w:val="-1755966748"/>
              <w:lock w:val="contentLocked"/>
              <w:placeholder>
                <w:docPart w:val="D290653DA13E4E738B7E725F79D73329"/>
              </w:placeholder>
              <w:text w:multiLine="1"/>
            </w:sdtPr>
            <w:sdtEndPr/>
            <w:sdtContent/>
          </w:sdt>
          <w:r w:rsidR="007D45E3" w:rsidRPr="00E1068A">
            <w:rPr>
              <w:rFonts w:hint="cs"/>
              <w:sz w:val="20"/>
              <w:szCs w:val="20"/>
              <w:rtl/>
            </w:rPr>
            <w:t xml:space="preserve"> </w:t>
          </w:r>
          <w:r w:rsidR="007D45E3" w:rsidRPr="00E1068A">
            <w:rPr>
              <w:sz w:val="20"/>
              <w:szCs w:val="20"/>
              <w:rtl/>
            </w:rPr>
            <w:t xml:space="preserve"> </w:t>
          </w:r>
          <w:r w:rsidR="001173C6">
            <w:rPr>
              <w:sz w:val="20"/>
              <w:szCs w:val="20"/>
              <w:rtl/>
            </w:rPr>
            <w:t xml:space="preserve"> </w:t>
          </w:r>
        </w:p>
      </w:tc>
    </w:tr>
  </w:tbl>
  <w:p w14:paraId="04ACA098" w14:textId="77777777" w:rsidR="00694556" w:rsidRDefault="00694556" w:rsidP="00610F11">
    <w:pPr>
      <w:pStyle w:val="a3"/>
      <w:tabs>
        <w:tab w:val="clear" w:pos="4153"/>
        <w:tab w:val="clear" w:pos="8306"/>
        <w:tab w:val="left" w:pos="2819"/>
      </w:tabs>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B4052"/>
    <w:multiLevelType w:val="hybridMultilevel"/>
    <w:tmpl w:val="F81E4718"/>
    <w:lvl w:ilvl="0" w:tplc="E25680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20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529D2"/>
    <w:rsid w:val="000564AB"/>
    <w:rsid w:val="00063399"/>
    <w:rsid w:val="00064FBD"/>
    <w:rsid w:val="00082AB2"/>
    <w:rsid w:val="000906FE"/>
    <w:rsid w:val="00096AF7"/>
    <w:rsid w:val="000B344B"/>
    <w:rsid w:val="000B76E7"/>
    <w:rsid w:val="000C3B0F"/>
    <w:rsid w:val="000C3B60"/>
    <w:rsid w:val="000E0DD2"/>
    <w:rsid w:val="000E3AF1"/>
    <w:rsid w:val="000F0BC8"/>
    <w:rsid w:val="000F0DD6"/>
    <w:rsid w:val="00107E6D"/>
    <w:rsid w:val="0011194C"/>
    <w:rsid w:val="0011424C"/>
    <w:rsid w:val="001173C6"/>
    <w:rsid w:val="00122A9F"/>
    <w:rsid w:val="001367BC"/>
    <w:rsid w:val="00144D2A"/>
    <w:rsid w:val="0014653E"/>
    <w:rsid w:val="00162FD5"/>
    <w:rsid w:val="00180519"/>
    <w:rsid w:val="00191C82"/>
    <w:rsid w:val="001C4003"/>
    <w:rsid w:val="001D4DBF"/>
    <w:rsid w:val="001E75CA"/>
    <w:rsid w:val="002265FF"/>
    <w:rsid w:val="002524FA"/>
    <w:rsid w:val="00271B56"/>
    <w:rsid w:val="00272E32"/>
    <w:rsid w:val="002C344E"/>
    <w:rsid w:val="002E75E9"/>
    <w:rsid w:val="002F0B1E"/>
    <w:rsid w:val="00307A6A"/>
    <w:rsid w:val="00307C40"/>
    <w:rsid w:val="00320433"/>
    <w:rsid w:val="003230C7"/>
    <w:rsid w:val="00327E50"/>
    <w:rsid w:val="0033597A"/>
    <w:rsid w:val="00343D89"/>
    <w:rsid w:val="00362612"/>
    <w:rsid w:val="0036743F"/>
    <w:rsid w:val="003715DD"/>
    <w:rsid w:val="003823E0"/>
    <w:rsid w:val="003A4521"/>
    <w:rsid w:val="003D1C8C"/>
    <w:rsid w:val="003E38C7"/>
    <w:rsid w:val="003F467E"/>
    <w:rsid w:val="0040096C"/>
    <w:rsid w:val="00414F1F"/>
    <w:rsid w:val="00422BEE"/>
    <w:rsid w:val="00424313"/>
    <w:rsid w:val="0043125D"/>
    <w:rsid w:val="0043502B"/>
    <w:rsid w:val="004443AC"/>
    <w:rsid w:val="00444B02"/>
    <w:rsid w:val="00451E28"/>
    <w:rsid w:val="00462C62"/>
    <w:rsid w:val="00465D36"/>
    <w:rsid w:val="004C17EE"/>
    <w:rsid w:val="004C4BDF"/>
    <w:rsid w:val="004D1187"/>
    <w:rsid w:val="004D3AA0"/>
    <w:rsid w:val="004E1987"/>
    <w:rsid w:val="004E2E15"/>
    <w:rsid w:val="004E6E3C"/>
    <w:rsid w:val="00504DD1"/>
    <w:rsid w:val="00520898"/>
    <w:rsid w:val="00523621"/>
    <w:rsid w:val="00524986"/>
    <w:rsid w:val="005268F6"/>
    <w:rsid w:val="00534284"/>
    <w:rsid w:val="0054140F"/>
    <w:rsid w:val="00547DB7"/>
    <w:rsid w:val="00557717"/>
    <w:rsid w:val="00576A86"/>
    <w:rsid w:val="005F4F09"/>
    <w:rsid w:val="00603F73"/>
    <w:rsid w:val="00610F11"/>
    <w:rsid w:val="0061431B"/>
    <w:rsid w:val="00622BAA"/>
    <w:rsid w:val="006306CF"/>
    <w:rsid w:val="00644E9A"/>
    <w:rsid w:val="00671BD5"/>
    <w:rsid w:val="00676E10"/>
    <w:rsid w:val="006805C1"/>
    <w:rsid w:val="00686C21"/>
    <w:rsid w:val="006931C1"/>
    <w:rsid w:val="00694556"/>
    <w:rsid w:val="006C30C5"/>
    <w:rsid w:val="006D3B31"/>
    <w:rsid w:val="006E0D96"/>
    <w:rsid w:val="006E1A53"/>
    <w:rsid w:val="006F56E6"/>
    <w:rsid w:val="00704EDA"/>
    <w:rsid w:val="00721122"/>
    <w:rsid w:val="00734689"/>
    <w:rsid w:val="007351F7"/>
    <w:rsid w:val="00753019"/>
    <w:rsid w:val="00754801"/>
    <w:rsid w:val="00761441"/>
    <w:rsid w:val="00773B11"/>
    <w:rsid w:val="00795365"/>
    <w:rsid w:val="007A351D"/>
    <w:rsid w:val="007B7765"/>
    <w:rsid w:val="007C2453"/>
    <w:rsid w:val="007C5BDD"/>
    <w:rsid w:val="007D45E3"/>
    <w:rsid w:val="007E6115"/>
    <w:rsid w:val="007F4609"/>
    <w:rsid w:val="00805EFF"/>
    <w:rsid w:val="00814468"/>
    <w:rsid w:val="008176A1"/>
    <w:rsid w:val="00820005"/>
    <w:rsid w:val="00841963"/>
    <w:rsid w:val="00844318"/>
    <w:rsid w:val="00860102"/>
    <w:rsid w:val="00863F5D"/>
    <w:rsid w:val="00870890"/>
    <w:rsid w:val="00873602"/>
    <w:rsid w:val="00875D12"/>
    <w:rsid w:val="00876170"/>
    <w:rsid w:val="0088479D"/>
    <w:rsid w:val="00891F42"/>
    <w:rsid w:val="00896889"/>
    <w:rsid w:val="008A6E97"/>
    <w:rsid w:val="008C134E"/>
    <w:rsid w:val="008C5714"/>
    <w:rsid w:val="008D10B2"/>
    <w:rsid w:val="00902AB1"/>
    <w:rsid w:val="00903896"/>
    <w:rsid w:val="00906F3D"/>
    <w:rsid w:val="0094424E"/>
    <w:rsid w:val="00955642"/>
    <w:rsid w:val="009622DF"/>
    <w:rsid w:val="0096493F"/>
    <w:rsid w:val="00967DFF"/>
    <w:rsid w:val="00994341"/>
    <w:rsid w:val="009D1A48"/>
    <w:rsid w:val="009D23D6"/>
    <w:rsid w:val="009E1CE7"/>
    <w:rsid w:val="009E2C4C"/>
    <w:rsid w:val="009E461A"/>
    <w:rsid w:val="009E4EA5"/>
    <w:rsid w:val="009F164B"/>
    <w:rsid w:val="009F323C"/>
    <w:rsid w:val="00A3392B"/>
    <w:rsid w:val="00A46717"/>
    <w:rsid w:val="00A54A75"/>
    <w:rsid w:val="00A85E34"/>
    <w:rsid w:val="00A9144F"/>
    <w:rsid w:val="00A94B64"/>
    <w:rsid w:val="00AA3229"/>
    <w:rsid w:val="00AA7596"/>
    <w:rsid w:val="00AB3AE3"/>
    <w:rsid w:val="00AB5E52"/>
    <w:rsid w:val="00AC3B02"/>
    <w:rsid w:val="00AC3B7B"/>
    <w:rsid w:val="00AC5209"/>
    <w:rsid w:val="00AE0E34"/>
    <w:rsid w:val="00AE729E"/>
    <w:rsid w:val="00AE7752"/>
    <w:rsid w:val="00AF7FDA"/>
    <w:rsid w:val="00B00E1A"/>
    <w:rsid w:val="00B41F46"/>
    <w:rsid w:val="00B5356E"/>
    <w:rsid w:val="00B74989"/>
    <w:rsid w:val="00B809AD"/>
    <w:rsid w:val="00B80CBD"/>
    <w:rsid w:val="00B859C5"/>
    <w:rsid w:val="00B86096"/>
    <w:rsid w:val="00B964D9"/>
    <w:rsid w:val="00BA0A7C"/>
    <w:rsid w:val="00BA517C"/>
    <w:rsid w:val="00BB3D05"/>
    <w:rsid w:val="00BB53D3"/>
    <w:rsid w:val="00BB73BE"/>
    <w:rsid w:val="00BC2D89"/>
    <w:rsid w:val="00BD6531"/>
    <w:rsid w:val="00BE05B2"/>
    <w:rsid w:val="00BF1908"/>
    <w:rsid w:val="00C22D93"/>
    <w:rsid w:val="00C23458"/>
    <w:rsid w:val="00C23AC9"/>
    <w:rsid w:val="00C31120"/>
    <w:rsid w:val="00C34482"/>
    <w:rsid w:val="00C43648"/>
    <w:rsid w:val="00C50A9F"/>
    <w:rsid w:val="00C603F7"/>
    <w:rsid w:val="00C642FA"/>
    <w:rsid w:val="00C770E3"/>
    <w:rsid w:val="00CC7622"/>
    <w:rsid w:val="00CD608F"/>
    <w:rsid w:val="00CF6BB7"/>
    <w:rsid w:val="00D04AA4"/>
    <w:rsid w:val="00D27982"/>
    <w:rsid w:val="00D33B86"/>
    <w:rsid w:val="00D44968"/>
    <w:rsid w:val="00D53924"/>
    <w:rsid w:val="00D55D0C"/>
    <w:rsid w:val="00D96D8C"/>
    <w:rsid w:val="00DA2495"/>
    <w:rsid w:val="00DA6649"/>
    <w:rsid w:val="00DC1259"/>
    <w:rsid w:val="00DC1BD2"/>
    <w:rsid w:val="00DC2571"/>
    <w:rsid w:val="00DC487C"/>
    <w:rsid w:val="00DD05A8"/>
    <w:rsid w:val="00DD4335"/>
    <w:rsid w:val="00DE1E7D"/>
    <w:rsid w:val="00DE6BF6"/>
    <w:rsid w:val="00E00709"/>
    <w:rsid w:val="00E1068A"/>
    <w:rsid w:val="00E25884"/>
    <w:rsid w:val="00E25B55"/>
    <w:rsid w:val="00E31C2B"/>
    <w:rsid w:val="00E5426A"/>
    <w:rsid w:val="00E54642"/>
    <w:rsid w:val="00E80CBE"/>
    <w:rsid w:val="00E9269D"/>
    <w:rsid w:val="00E962E3"/>
    <w:rsid w:val="00E974AD"/>
    <w:rsid w:val="00EB6C79"/>
    <w:rsid w:val="00EC37E9"/>
    <w:rsid w:val="00F038D8"/>
    <w:rsid w:val="00F06995"/>
    <w:rsid w:val="00F12D66"/>
    <w:rsid w:val="00F13623"/>
    <w:rsid w:val="00F148EC"/>
    <w:rsid w:val="00F44D1D"/>
    <w:rsid w:val="00F84B6D"/>
    <w:rsid w:val="00F957E8"/>
    <w:rsid w:val="00FA311A"/>
    <w:rsid w:val="00FA5FDA"/>
    <w:rsid w:val="00FB6AB3"/>
    <w:rsid w:val="00FD1419"/>
    <w:rsid w:val="00FD79E4"/>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3C8A9"/>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6">
    <w:name w:val="annotation text"/>
    <w:basedOn w:val="a"/>
    <w:semiHidden/>
    <w:rsid w:val="00C64423"/>
    <w:rPr>
      <w:rFonts w:cs="Times New Roman"/>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character" w:styleId="ad">
    <w:name w:val="Emphasis"/>
    <w:basedOn w:val="a0"/>
    <w:qFormat/>
    <w:rsid w:val="008C13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317E2123CA4B7380FBB46815F4D7D1"/>
        <w:category>
          <w:name w:val="כללי"/>
          <w:gallery w:val="placeholder"/>
        </w:category>
        <w:types>
          <w:type w:val="bbPlcHdr"/>
        </w:types>
        <w:behaviors>
          <w:behavior w:val="content"/>
        </w:behaviors>
        <w:guid w:val="{01C528CD-D378-493F-A242-13FF280C89D5}"/>
      </w:docPartPr>
      <w:docPartBody>
        <w:p w:rsidR="009133C7" w:rsidRDefault="00AA7CE3">
          <w:r w:rsidRPr="00D47A1C">
            <w:rPr>
              <w:rStyle w:val="a3"/>
              <w:rtl/>
            </w:rPr>
            <w:t>לחץ כאן להזנת טקסט</w:t>
          </w:r>
          <w:r w:rsidRPr="00D47A1C">
            <w:rPr>
              <w:rStyle w:val="a3"/>
            </w:rPr>
            <w:t>.</w:t>
          </w:r>
        </w:p>
      </w:docPartBody>
    </w:docPart>
    <w:docPart>
      <w:docPartPr>
        <w:name w:val="45942C22821F46E0B7E7B5B616DB325A"/>
        <w:category>
          <w:name w:val="כללי"/>
          <w:gallery w:val="placeholder"/>
        </w:category>
        <w:types>
          <w:type w:val="bbPlcHdr"/>
        </w:types>
        <w:behaviors>
          <w:behavior w:val="content"/>
        </w:behaviors>
        <w:guid w:val="{9145FBD5-88F4-4017-AEF7-ED0450B2984A}"/>
      </w:docPartPr>
      <w:docPartBody>
        <w:p w:rsidR="007E254A" w:rsidRDefault="00F04DC1" w:rsidP="00F04DC1">
          <w:pPr>
            <w:pStyle w:val="4CB7196AAF294F94B2C6087C9BF06E84"/>
          </w:pPr>
          <w:r w:rsidRPr="005929DA">
            <w:rPr>
              <w:rStyle w:val="a3"/>
              <w:rtl/>
            </w:rPr>
            <w:t>לחץ כאן להזנת טקסט</w:t>
          </w:r>
          <w:r w:rsidRPr="005929DA">
            <w:rPr>
              <w:rStyle w:val="a3"/>
            </w:rPr>
            <w:t>.</w:t>
          </w:r>
        </w:p>
      </w:docPartBody>
    </w:docPart>
    <w:docPart>
      <w:docPartPr>
        <w:name w:val="7F1784EE3B86478B8D4F8AC853A54BBE"/>
        <w:category>
          <w:name w:val="כללי"/>
          <w:gallery w:val="placeholder"/>
        </w:category>
        <w:types>
          <w:type w:val="bbPlcHdr"/>
        </w:types>
        <w:behaviors>
          <w:behavior w:val="content"/>
        </w:behaviors>
        <w:guid w:val="{F9FAA2B0-9ED8-4AAD-A4DD-DAC105FB75BA}"/>
      </w:docPartPr>
      <w:docPartBody>
        <w:p w:rsidR="007E254A" w:rsidRDefault="006377AB" w:rsidP="006377AB">
          <w:pPr>
            <w:pStyle w:val="E6E6A917CC5E4519A8F2E864C48E22F215"/>
          </w:pPr>
          <w:r w:rsidRPr="00CD608F">
            <w:rPr>
              <w:rFonts w:hint="eastAsia"/>
              <w:b/>
              <w:bCs/>
              <w:sz w:val="26"/>
              <w:szCs w:val="26"/>
              <w:rtl/>
            </w:rPr>
            <w:t>בעניין</w:t>
          </w:r>
          <w:r w:rsidRPr="00CD608F">
            <w:rPr>
              <w:b/>
              <w:bCs/>
              <w:sz w:val="26"/>
              <w:szCs w:val="26"/>
              <w:rtl/>
            </w:rPr>
            <w:t xml:space="preserve"> שם פרטי</w:t>
          </w:r>
        </w:p>
      </w:docPartBody>
    </w:docPart>
    <w:docPart>
      <w:docPartPr>
        <w:name w:val="D290653DA13E4E738B7E725F79D73329"/>
        <w:category>
          <w:name w:val="כללי"/>
          <w:gallery w:val="placeholder"/>
        </w:category>
        <w:types>
          <w:type w:val="bbPlcHdr"/>
        </w:types>
        <w:behaviors>
          <w:behavior w:val="content"/>
        </w:behaviors>
        <w:guid w:val="{A03D6ABB-52CE-4E84-8467-25FC78F3B2B0}"/>
      </w:docPartPr>
      <w:docPartBody>
        <w:p w:rsidR="00CE1DCB" w:rsidRDefault="006377AB" w:rsidP="006377AB">
          <w:pPr>
            <w:pStyle w:val="7D8E46D2581B4CD9ACC623ACA7D52F755"/>
          </w:pPr>
          <w:r w:rsidRPr="007C2453">
            <w:rPr>
              <w:rFonts w:ascii="Arial" w:hAnsi="Arial" w:hint="eastAsia"/>
              <w:b/>
              <w:bCs/>
              <w:noProof w:val="0"/>
              <w:sz w:val="26"/>
              <w:szCs w:val="26"/>
              <w:rtl/>
            </w:rPr>
            <w:t>שם</w:t>
          </w:r>
          <w:r w:rsidRPr="007C2453">
            <w:rPr>
              <w:rFonts w:ascii="Arial" w:hAnsi="Arial"/>
              <w:b/>
              <w:bCs/>
              <w:noProof w:val="0"/>
              <w:sz w:val="26"/>
              <w:szCs w:val="26"/>
              <w:rtl/>
            </w:rPr>
            <w:t xml:space="preserve"> צד א' ללא שם של חסוי</w:t>
          </w:r>
        </w:p>
      </w:docPartBody>
    </w:docPart>
    <w:docPart>
      <w:docPartPr>
        <w:name w:val="F5EF4663D5094D57BB3FEC6B89CF5C8E"/>
        <w:category>
          <w:name w:val="כללי"/>
          <w:gallery w:val="placeholder"/>
        </w:category>
        <w:types>
          <w:type w:val="bbPlcHdr"/>
        </w:types>
        <w:behaviors>
          <w:behavior w:val="content"/>
        </w:behaviors>
        <w:guid w:val="{7E0A614E-80C5-44FD-87E0-2CF97AE84F43}"/>
      </w:docPartPr>
      <w:docPartBody>
        <w:p w:rsidR="00A04CF8" w:rsidRDefault="00A04CF8">
          <w:pPr>
            <w:pStyle w:val="C2AD95D6F9A64F5D8EDBDCD1DECCF1E0"/>
          </w:pPr>
          <w:r>
            <w:rPr>
              <w:b/>
              <w:bCs/>
              <w:rtl/>
            </w:rPr>
            <w:t>סוג זיהוי צד א</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177CC"/>
    <w:rsid w:val="000A4ACE"/>
    <w:rsid w:val="001D696D"/>
    <w:rsid w:val="002D02C4"/>
    <w:rsid w:val="00345C9D"/>
    <w:rsid w:val="003F467E"/>
    <w:rsid w:val="0048651F"/>
    <w:rsid w:val="005157ED"/>
    <w:rsid w:val="005171E8"/>
    <w:rsid w:val="00556D67"/>
    <w:rsid w:val="006377AB"/>
    <w:rsid w:val="006C0298"/>
    <w:rsid w:val="00715E8A"/>
    <w:rsid w:val="00773B11"/>
    <w:rsid w:val="00793995"/>
    <w:rsid w:val="007970CD"/>
    <w:rsid w:val="007C6F98"/>
    <w:rsid w:val="007E254A"/>
    <w:rsid w:val="00817811"/>
    <w:rsid w:val="008B4366"/>
    <w:rsid w:val="009133C7"/>
    <w:rsid w:val="009178E4"/>
    <w:rsid w:val="00961B27"/>
    <w:rsid w:val="009A4BEE"/>
    <w:rsid w:val="00A04CF8"/>
    <w:rsid w:val="00A51CA1"/>
    <w:rsid w:val="00AA7CE3"/>
    <w:rsid w:val="00AD53D7"/>
    <w:rsid w:val="00B50DB2"/>
    <w:rsid w:val="00B91FA3"/>
    <w:rsid w:val="00BE6557"/>
    <w:rsid w:val="00C96C06"/>
    <w:rsid w:val="00CE1DCB"/>
    <w:rsid w:val="00D24521"/>
    <w:rsid w:val="00E31BF6"/>
    <w:rsid w:val="00E81DB1"/>
    <w:rsid w:val="00F00DF8"/>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AD95D6F9A64F5D8EDBDCD1DECCF1E0">
    <w:name w:val="C2AD95D6F9A64F5D8EDBDCD1DECCF1E0"/>
    <w:pPr>
      <w:bidi/>
    </w:pPr>
  </w:style>
  <w:style w:type="character" w:styleId="a3">
    <w:name w:val="Placeholder Text"/>
    <w:basedOn w:val="a0"/>
    <w:uiPriority w:val="99"/>
    <w:semiHidden/>
    <w:rsid w:val="006377AB"/>
    <w:rPr>
      <w:color w:val="808080"/>
    </w:rPr>
  </w:style>
  <w:style w:type="paragraph" w:customStyle="1" w:styleId="4CB7196AAF294F94B2C6087C9BF06E84">
    <w:name w:val="4CB7196AAF294F94B2C6087C9BF06E84"/>
    <w:rsid w:val="00F04DC1"/>
    <w:pPr>
      <w:bidi/>
      <w:spacing w:after="160" w:line="259" w:lineRule="auto"/>
    </w:pPr>
  </w:style>
  <w:style w:type="paragraph" w:customStyle="1" w:styleId="7D8E46D2581B4CD9ACC623ACA7D52F755">
    <w:name w:val="7D8E46D2581B4CD9ACC623ACA7D52F755"/>
    <w:rsid w:val="006377AB"/>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6377AB"/>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10051</Characters>
  <Application>Microsoft Office Word</Application>
  <DocSecurity>0</DocSecurity>
  <Lines>83</Lines>
  <Paragraphs>24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nir toledano</cp:lastModifiedBy>
  <cp:revision>2</cp:revision>
  <dcterms:created xsi:type="dcterms:W3CDTF">2025-09-05T09:15:00Z</dcterms:created>
  <dcterms:modified xsi:type="dcterms:W3CDTF">2025-09-05T09:15:00Z</dcterms:modified>
</cp:coreProperties>
</file>